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8BA" w:rsidP="001C28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CPCCDE3015 Remove friable asbestos</w:t>
      </w:r>
      <w:r>
        <w:fldChar w:fldCharType="end"/>
      </w:r>
    </w:p>
    <w:p w:rsidR="001C28BA" w:rsidP="001C28BA">
      <w:pPr>
        <w:pStyle w:val="Version"/>
        <w:sectPr w:rsidSect="00001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CD0" w:rsidP="00001CD0">
      <w:pPr>
        <w:pStyle w:val="SuperHeading"/>
      </w:pPr>
      <w:r w:rsidRPr="00001CD0">
        <w:t>CPCCDE3015 Remove friable asbestos</w:t>
      </w:r>
    </w:p>
    <w:p w:rsidR="00000000" w:rsidRPr="00001CD0" w:rsidP="00001CD0">
      <w:pPr>
        <w:pStyle w:val="Heading1"/>
      </w:pPr>
      <w:bookmarkStart w:id="1" w:name="O_1052344"/>
      <w:bookmarkEnd w:id="1"/>
      <w:r w:rsidRPr="00001C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D0" w:rsidP="00001CD0">
            <w:pPr>
              <w:pStyle w:val="BodyText"/>
            </w:pPr>
            <w:r w:rsidRPr="00001CD0">
              <w:t>This version first released with CPC Construction, Plumbing and Services Training Package Release 5.0.</w:t>
            </w:r>
          </w:p>
          <w:p w:rsidR="00000000" w:rsidRPr="00001CD0" w:rsidP="00001CD0">
            <w:pPr>
              <w:pStyle w:val="BodyText"/>
            </w:pPr>
            <w:r w:rsidRPr="00001CD0">
              <w:t xml:space="preserve">Supersedes and is equivalent to CPCCDE3015A Remove friable asbestos.  Updated to meet the Standards for Training Packages </w:t>
            </w:r>
            <w:r w:rsidRPr="00001CD0">
              <w:t>2012.</w:t>
            </w:r>
          </w:p>
        </w:tc>
      </w:tr>
    </w:tbl>
    <w:p w:rsidR="00000000" w:rsidRPr="00001CD0" w:rsidP="00001CD0">
      <w:pPr>
        <w:pStyle w:val="BodyText"/>
      </w:pPr>
    </w:p>
    <w:p w:rsidR="00000000" w:rsidRPr="00001CD0" w:rsidP="00001CD0">
      <w:pPr>
        <w:pStyle w:val="AllowPageBreak"/>
      </w:pPr>
    </w:p>
    <w:p w:rsidR="00000000" w:rsidRPr="00001CD0" w:rsidP="00001CD0">
      <w:pPr>
        <w:pStyle w:val="Heading1"/>
      </w:pPr>
      <w:bookmarkStart w:id="2" w:name="O_1052350"/>
      <w:bookmarkEnd w:id="2"/>
      <w:r w:rsidRPr="00001CD0">
        <w:t>Application</w:t>
      </w:r>
    </w:p>
    <w:p w:rsidR="00000000" w:rsidRPr="00001CD0" w:rsidP="001C28BA">
      <w:pPr>
        <w:pStyle w:val="BodyText"/>
      </w:pPr>
      <w:r w:rsidRPr="00001CD0">
        <w:t>This unit of competency specifies the outcomes required to remove friable asbestos containing material (ACM).</w:t>
      </w:r>
    </w:p>
    <w:p w:rsidR="00000000" w:rsidRPr="00001CD0" w:rsidP="001C28BA">
      <w:pPr>
        <w:pStyle w:val="BodyText"/>
      </w:pPr>
      <w:r w:rsidRPr="00001CD0">
        <w:t>It includes preparing, containing and removing friable ACM, and knowledge and application of decontaminatio</w:t>
      </w:r>
      <w:r w:rsidRPr="00001CD0">
        <w:t>n and disposal requirements.</w:t>
      </w:r>
    </w:p>
    <w:p w:rsidR="00000000" w:rsidRPr="00001CD0" w:rsidP="001C28BA">
      <w:pPr>
        <w:pStyle w:val="BodyText"/>
      </w:pPr>
      <w:r w:rsidRPr="00001CD0">
        <w:t xml:space="preserve">Site location can be a real workplace or simulated environment that may include domestic or commercial premises; a demolition site; or an existing structure being renovated, extended, restored or maintained. </w:t>
      </w:r>
    </w:p>
    <w:p w:rsidR="00000000" w:rsidRPr="00001CD0" w:rsidP="001C28BA">
      <w:pPr>
        <w:pStyle w:val="BodyText"/>
      </w:pPr>
      <w:r w:rsidRPr="00001CD0">
        <w:t xml:space="preserve">Project sites for </w:t>
      </w:r>
      <w:r w:rsidRPr="00001CD0">
        <w:t>removal of friable asbestos include construction sites, ships, fences and soils.</w:t>
      </w:r>
    </w:p>
    <w:p w:rsidR="00000000" w:rsidRPr="00001CD0" w:rsidP="001C28BA">
      <w:pPr>
        <w:pStyle w:val="BodyText"/>
      </w:pPr>
      <w:r w:rsidRPr="00001CD0">
        <w:t>The model work health and safety (WHS) regulations and the Code of Practice: How to safely remove asbestos (2018) requires workers to hold certification for the class of licen</w:t>
      </w:r>
      <w:r w:rsidRPr="00001CD0">
        <w:t>sed asbestos removal work they will be undertaking. Completion of this unit of competency is certification to undertake friable (Class A) removal work.</w:t>
      </w:r>
    </w:p>
    <w:p w:rsidR="00000000" w:rsidRPr="00001CD0" w:rsidP="001C28BA">
      <w:pPr>
        <w:pStyle w:val="BodyText"/>
      </w:pPr>
      <w:r w:rsidRPr="00001CD0">
        <w:t>Occupational licenses are required nationally. This unit is required for all ACM removal workers engaged</w:t>
      </w:r>
      <w:r w:rsidRPr="00001CD0">
        <w:t xml:space="preserve"> in the removal of friable ACM.</w:t>
      </w:r>
    </w:p>
    <w:p w:rsidR="00000000" w:rsidRPr="00001CD0" w:rsidP="001C28BA">
      <w:pPr>
        <w:pStyle w:val="BodyText"/>
      </w:pPr>
      <w:r w:rsidRPr="00001CD0">
        <w:t>Candidates are advised to consult with the relevant state and territory regulatory authorities to confirm specific jurisdictional requirements to remove non-friable ACM.</w:t>
      </w:r>
    </w:p>
    <w:p w:rsidR="00000000" w:rsidRPr="00001CD0" w:rsidP="00001CD0">
      <w:pPr>
        <w:pStyle w:val="Heading1"/>
      </w:pPr>
      <w:bookmarkStart w:id="3" w:name="O_1052349"/>
      <w:bookmarkEnd w:id="3"/>
      <w:r w:rsidRPr="00001CD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2"/>
        <w:gridCol w:w="7460"/>
      </w:tblGrid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 xml:space="preserve">CPCCWHS1001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Pre</w:t>
            </w:r>
            <w:r w:rsidRPr="00001CD0">
              <w:t>pare to work safely in the construction industry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 xml:space="preserve">CPCCDE3014 </w:t>
            </w:r>
          </w:p>
        </w:tc>
        <w:tc>
          <w:tcPr>
            <w:tcW w:w="7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D0" w:rsidP="00001CD0">
            <w:pPr>
              <w:pStyle w:val="BodyText"/>
            </w:pPr>
            <w:r w:rsidRPr="00001CD0">
              <w:t>Remove non-friable asbestos</w:t>
            </w:r>
          </w:p>
        </w:tc>
      </w:tr>
    </w:tbl>
    <w:p w:rsidR="00000000" w:rsidRPr="00001CD0" w:rsidP="00001CD0">
      <w:pPr>
        <w:pStyle w:val="BodyText"/>
      </w:pPr>
    </w:p>
    <w:p w:rsidR="00000000" w:rsidRPr="00001CD0" w:rsidP="00001CD0">
      <w:pPr>
        <w:pStyle w:val="AllowPageBreak"/>
      </w:pPr>
    </w:p>
    <w:p w:rsidR="00000000" w:rsidRPr="00001CD0" w:rsidP="00001CD0">
      <w:pPr>
        <w:pStyle w:val="Heading1"/>
      </w:pPr>
      <w:bookmarkStart w:id="4" w:name="O_1052348"/>
      <w:bookmarkEnd w:id="4"/>
      <w:r w:rsidRPr="00001CD0">
        <w:t>Unit Sector</w:t>
      </w:r>
    </w:p>
    <w:p w:rsidR="00000000" w:rsidRPr="00001CD0" w:rsidP="001C28BA">
      <w:pPr>
        <w:pStyle w:val="BodyText"/>
      </w:pPr>
      <w:r w:rsidRPr="00001CD0">
        <w:t>Demolition.</w:t>
      </w:r>
    </w:p>
    <w:p w:rsidR="00000000" w:rsidRPr="00001CD0" w:rsidP="00001CD0">
      <w:pPr>
        <w:pStyle w:val="Heading1"/>
      </w:pPr>
      <w:bookmarkStart w:id="5" w:name="O_1052347"/>
      <w:bookmarkEnd w:id="5"/>
      <w:r w:rsidRPr="00001C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Performance criteria describe what needs to be done to demonstrate achievement of the element.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Prepare for asbestos removal.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 xml:space="preserve">Obtain work instructions and participate in review of asbestos removal control plan (ARCP) and </w:t>
            </w:r>
            <w:r w:rsidRPr="00001CD0">
              <w:t>safe work method statements (SWMS).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Gather safety requirements and data from an on-site assessment and asbestos register where available.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Use information sources to ensure the ARCP and SWMS are site-specif</w:t>
            </w:r>
            <w:r w:rsidRPr="00001CD0">
              <w:t>ic for the removal of asbestos materials.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Calculate required quantity of materials according to plans and specifications and ensure materials meet code of practice and regulatory requirements.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Identify and apply environmental requirements for</w:t>
            </w:r>
            <w:r w:rsidRPr="00001CD0">
              <w:t xml:space="preserve"> the project according to environmental plans and regulatory obligations.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Contribute to processes required to undertake air monitoring and to meet health monitoring requirements in line with level of authority and responsibility and regulatory requi</w:t>
            </w:r>
            <w:r w:rsidRPr="00001CD0">
              <w:t>rements.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Finalise preparation for the removal process and obtain authorisation according to legislative and company requirements and the ARCP.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Select plant, equipment and personal protective equipment (PPE) consistent with job requirements to carry out tasks, check for serviceability, and rectify or report faults prior to commencement.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Notify regulator, occupants, neighbours and other affe</w:t>
            </w:r>
            <w:r w:rsidRPr="00001CD0">
              <w:t>cted parties according to legislation and the code of practice and within scope of own responsibility.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Contribute to the preparation and use of an emergency plan within limits of own responsibility and according to legislative and company requireme</w:t>
            </w:r>
            <w:r w:rsidRPr="00001CD0">
              <w:t>nts.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1.11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Contribute to the preparation and use of a certified safety management systems (SMS) within limits of own responsibility and according to legislative and company requirements.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Prepare asbestos removal area and removal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Identify location of friable and non-friable asbestos and confirm with supervisor location of site boundaries.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 xml:space="preserve">Implement signage and barricade requirements to delineate the asbestos removal site according to the ARCP. 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Position and assemble decontamination unit to manufacturer requirements.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Connect services to decontamination unit according to regulatory requirements and codes of practice.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Test decontamination procedure within scope of own responsibility and according to workplace procedures and the ARCP.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Enclose removal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 xml:space="preserve">Designate boundaries of asbestos work area according to ARCP requirements. 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Construct negative pressure enclosure.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Undertake processes to ensure the safety of the site, including deactivating or securing utilities where necessary prior to commencing work.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Follow requirements to enclose the removal site safely to prev</w:t>
            </w:r>
            <w:r w:rsidRPr="00001CD0">
              <w:t>ent the further release of fibres according to the ARCP and legislative and company requirements.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Identify types of enclosures, impact of the size of the removal on the methodology selected, and types and use of removal processes.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Test integrity of enclosure by smoke test and ensure negative air pressure is maintained within the enclosure within limits of responsibility and in line with legislative requirements.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Provide notification of proposed asbestos removal to the license</w:t>
            </w:r>
            <w:r w:rsidRPr="00001CD0">
              <w:t>d assessor within required timeframe and limits of own responsibility.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Establish asbestos waste storage and waste transit route according to the ARCP.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Carry out asbestos removal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Fit-check respiratory protection equipment (RPE) and fit PPE.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Carry out asbestos removal within enclosure ensuring airborne asbestos fibres are kept to a minimum by using appropriate tools, wet removal, and handling techniques.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Contain and place removed friable asbestos, asbestos dust and debris into double-lined removal bags or bins, seal, label appropriately and remove from site according to regulatory requirements and the ARCP.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 xml:space="preserve">Use manual-handling principles for bagged </w:t>
            </w:r>
            <w:r w:rsidRPr="00001CD0">
              <w:t>and sealed ACM wherever possible to prevent breakages of plastic.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Carry out decontamination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Use decontamination unit according to manufacturer and regulatory requirements and codes of practice.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Carry out decontamination of the work area according to ARCP.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Carry out personal decontamination according to ARCP.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Get approval to dismantle asbestos removal and decontamination equipment according to regulatory requirements and codes of pra</w:t>
            </w:r>
            <w:r w:rsidRPr="00001CD0">
              <w:t>ctice.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Clean up work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Remove asbestos and decontamination equipment from the area according to the ARCP and regulatory requirements and following clearance from the licensed asbestos assessor.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Clear work area and dispose of materials according to legislation, regulations, codes of practice and job specification.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Clean, check, maintain and store plant, tools and equipment according to manufacturer recommendations and standard work practice</w:t>
            </w:r>
            <w:r w:rsidRPr="00001CD0">
              <w:t>s.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Take steps to ensure clearance inspection requirements are met, within the limits of own responsibility and to ensure clearance certificate is gained from a competent person or licensed asbestos assessor.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Complete regulatory processes.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 xml:space="preserve">Ensure clearance inspection is undertaken prior to removing signage, plant and equipment.  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Contribute to the preparation and use of documentation for regulatory notification processes, within limits of own responsibility and according to legislative, company and regulatory requirements.</w:t>
            </w:r>
          </w:p>
        </w:tc>
      </w:tr>
      <w:tr w:rsidTr="00001C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D0">
            <w:pPr>
              <w:pStyle w:val="BodyText"/>
              <w:rPr>
                <w:lang w:val="en-NZ"/>
              </w:rPr>
            </w:pPr>
            <w:r w:rsidRPr="00001CD0">
              <w:t>7.3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D0" w:rsidP="00001CD0">
            <w:pPr>
              <w:pStyle w:val="BodyText"/>
            </w:pPr>
            <w:r w:rsidRPr="00001CD0">
              <w:t>Provide stakeholders with clearance inspection certi</w:t>
            </w:r>
            <w:r w:rsidRPr="00001CD0">
              <w:t>ficate prior to reoccupation, as required.</w:t>
            </w:r>
          </w:p>
        </w:tc>
      </w:tr>
    </w:tbl>
    <w:p w:rsidR="00000000" w:rsidRPr="00001CD0" w:rsidP="00001CD0">
      <w:pPr>
        <w:pStyle w:val="BodyText"/>
      </w:pPr>
    </w:p>
    <w:p w:rsidR="00000000" w:rsidRPr="00001CD0" w:rsidP="00001CD0">
      <w:pPr>
        <w:pStyle w:val="AllowPageBreak"/>
      </w:pPr>
    </w:p>
    <w:p w:rsidR="00000000" w:rsidRPr="00001CD0" w:rsidP="00001CD0">
      <w:pPr>
        <w:pStyle w:val="Heading1"/>
      </w:pPr>
      <w:bookmarkStart w:id="6" w:name="O_1052346"/>
      <w:bookmarkEnd w:id="6"/>
      <w:r w:rsidRPr="00001CD0">
        <w:t>Foundation Skills</w:t>
      </w:r>
    </w:p>
    <w:p w:rsidR="00000000" w:rsidRPr="00001CD0" w:rsidP="001C28BA">
      <w:pPr>
        <w:pStyle w:val="BodyText"/>
      </w:pPr>
      <w:r w:rsidRPr="00001CD0">
        <w:t xml:space="preserve">Foundation skills essential to performance are explicit in the performance criteria of this unit of competency. </w:t>
      </w:r>
    </w:p>
    <w:p w:rsidR="00000000" w:rsidRPr="00001CD0" w:rsidP="00001CD0">
      <w:pPr>
        <w:pStyle w:val="Heading1"/>
      </w:pPr>
      <w:bookmarkStart w:id="7" w:name="O_1052345"/>
      <w:bookmarkEnd w:id="7"/>
      <w:r w:rsidRPr="00001CD0">
        <w:t>Unit Mapping Information</w:t>
      </w:r>
    </w:p>
    <w:p w:rsidR="00000000" w:rsidRPr="00001CD0" w:rsidP="001C28BA">
      <w:pPr>
        <w:pStyle w:val="BodyText"/>
      </w:pPr>
      <w:r w:rsidRPr="00001CD0">
        <w:t>Supersedes and is equivalent to CPCCDE3015A Remove friable asbestos.</w:t>
      </w:r>
    </w:p>
    <w:p w:rsidR="00000000" w:rsidRPr="00001CD0" w:rsidP="00001CD0">
      <w:pPr>
        <w:pStyle w:val="Heading1"/>
      </w:pPr>
      <w:bookmarkStart w:id="8" w:name="O_1052338"/>
      <w:bookmarkEnd w:id="8"/>
      <w:r w:rsidRPr="00001CD0">
        <w:t>Links</w:t>
      </w:r>
    </w:p>
    <w:p w:rsidR="00000000" w:rsidRPr="00001CD0" w:rsidP="001C28BA">
      <w:pPr>
        <w:pStyle w:val="BodyText"/>
      </w:pPr>
      <w:r w:rsidRPr="00001CD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40D5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01CD0" w:rsidP="00001CD0"/>
    <w:sectPr w:rsidSect="00001C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D0" w:rsidRPr="001C28BA" w:rsidP="001C28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BA" w:rsidP="00001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28BA" w:rsidP="00001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C28BA" w:rsidP="00001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CD0" w:rsidRPr="001C28BA" w:rsidP="001C28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BA" w:rsidRPr="002D2AF8" w:rsidP="00001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CPCCDE3015 Remove friable asbestos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C28BA" w:rsidP="00001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CD0"/>
  </w:style>
  <w:style w:type="character" w:customStyle="1" w:styleId="Heading1Char">
    <w:name w:val="Heading 1 Char"/>
    <w:basedOn w:val="DefaultParagraphFont"/>
    <w:link w:val="Heading1"/>
    <w:rsid w:val="00001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C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CD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01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C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C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1C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1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1CD0"/>
    <w:rPr>
      <w:b/>
      <w:spacing w:val="0"/>
    </w:rPr>
  </w:style>
  <w:style w:type="paragraph" w:customStyle="1" w:styleId="SuperTitle">
    <w:name w:val="SuperTitle"/>
    <w:basedOn w:val="Title"/>
    <w:rsid w:val="00001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C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C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CD0"/>
    <w:rPr>
      <w:i/>
    </w:rPr>
  </w:style>
  <w:style w:type="paragraph" w:styleId="Caption">
    <w:name w:val="caption"/>
    <w:basedOn w:val="BodyText"/>
    <w:next w:val="Normal"/>
    <w:qFormat/>
    <w:rsid w:val="00001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CD0"/>
  </w:style>
  <w:style w:type="paragraph" w:styleId="TableofFigures">
    <w:name w:val="table of figures"/>
    <w:basedOn w:val="Normal"/>
    <w:next w:val="Normal"/>
    <w:semiHidden/>
    <w:rsid w:val="00001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C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1CD0"/>
    <w:rPr>
      <w:rFonts w:ascii="Wingdings" w:hAnsi="Wingdings"/>
    </w:rPr>
  </w:style>
  <w:style w:type="paragraph" w:customStyle="1" w:styleId="TableHeading">
    <w:name w:val="Table Heading"/>
    <w:basedOn w:val="HeadingBase"/>
    <w:rsid w:val="00001C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CD0"/>
    <w:rPr>
      <w:color w:val="0033CC"/>
      <w:u w:val="none"/>
    </w:rPr>
  </w:style>
  <w:style w:type="paragraph" w:customStyle="1" w:styleId="BodyTextRight">
    <w:name w:val="Body Text Right"/>
    <w:basedOn w:val="BodyText"/>
    <w:rsid w:val="00001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C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CD0"/>
    <w:rPr>
      <w:sz w:val="32"/>
    </w:rPr>
  </w:style>
  <w:style w:type="paragraph" w:customStyle="1" w:styleId="HeadingProcedure">
    <w:name w:val="Heading Procedure"/>
    <w:basedOn w:val="HeadingBase"/>
    <w:next w:val="Normal"/>
    <w:rsid w:val="00001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CD0"/>
    <w:pPr>
      <w:spacing w:before="60" w:after="60"/>
    </w:pPr>
  </w:style>
  <w:style w:type="paragraph" w:styleId="ListContinue">
    <w:name w:val="List Continue"/>
    <w:basedOn w:val="List"/>
    <w:rsid w:val="00001CD0"/>
    <w:pPr>
      <w:ind w:firstLine="0"/>
    </w:pPr>
  </w:style>
  <w:style w:type="paragraph" w:customStyle="1" w:styleId="ListNote">
    <w:name w:val="List Note"/>
    <w:basedOn w:val="List"/>
    <w:rsid w:val="00001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CD0"/>
    <w:rPr>
      <w:rFonts w:ascii="Courier New" w:hAnsi="Courier New"/>
    </w:rPr>
  </w:style>
  <w:style w:type="paragraph" w:customStyle="1" w:styleId="NoteBullet">
    <w:name w:val="Note Bullet"/>
    <w:basedOn w:val="Note"/>
    <w:rsid w:val="00001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C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1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CD0"/>
    <w:rPr>
      <w:b/>
      <w:smallCaps/>
    </w:rPr>
  </w:style>
  <w:style w:type="paragraph" w:customStyle="1" w:styleId="TableListNumber">
    <w:name w:val="Table List Number"/>
    <w:basedOn w:val="ListNumber"/>
    <w:rsid w:val="00001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CD0"/>
    <w:pPr>
      <w:numPr>
        <w:numId w:val="7"/>
      </w:numPr>
    </w:pPr>
  </w:style>
  <w:style w:type="paragraph" w:customStyle="1" w:styleId="ListAlpha2">
    <w:name w:val="List Alpha 2"/>
    <w:basedOn w:val="List2"/>
    <w:rsid w:val="00001CD0"/>
    <w:pPr>
      <w:numPr>
        <w:numId w:val="6"/>
      </w:numPr>
    </w:pPr>
  </w:style>
  <w:style w:type="paragraph" w:styleId="List2">
    <w:name w:val="List 2"/>
    <w:basedOn w:val="BodyText"/>
    <w:rsid w:val="00001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C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C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1CD0"/>
    <w:pPr>
      <w:numPr>
        <w:numId w:val="2"/>
      </w:numPr>
    </w:pPr>
  </w:style>
  <w:style w:type="paragraph" w:styleId="ListContinue2">
    <w:name w:val="List Continue 2"/>
    <w:basedOn w:val="List2"/>
    <w:rsid w:val="00001CD0"/>
    <w:pPr>
      <w:ind w:firstLine="0"/>
    </w:pPr>
  </w:style>
  <w:style w:type="paragraph" w:styleId="ListContinue3">
    <w:name w:val="List Continue 3"/>
    <w:basedOn w:val="List3"/>
    <w:rsid w:val="00001CD0"/>
    <w:pPr>
      <w:ind w:left="1021" w:firstLine="0"/>
    </w:pPr>
  </w:style>
  <w:style w:type="paragraph" w:styleId="ListContinue4">
    <w:name w:val="List Continue 4"/>
    <w:basedOn w:val="List4"/>
    <w:rsid w:val="00001CD0"/>
    <w:pPr>
      <w:ind w:firstLine="0"/>
    </w:pPr>
  </w:style>
  <w:style w:type="paragraph" w:styleId="ListContinue5">
    <w:name w:val="List Continue 5"/>
    <w:basedOn w:val="List5"/>
    <w:rsid w:val="00001CD0"/>
    <w:pPr>
      <w:ind w:firstLine="0"/>
    </w:pPr>
  </w:style>
  <w:style w:type="paragraph" w:styleId="ListNumber3">
    <w:name w:val="List Number 3"/>
    <w:basedOn w:val="List3"/>
    <w:rsid w:val="00001CD0"/>
    <w:pPr>
      <w:numPr>
        <w:numId w:val="3"/>
      </w:numPr>
    </w:pPr>
  </w:style>
  <w:style w:type="paragraph" w:styleId="ListNumber4">
    <w:name w:val="List Number 4"/>
    <w:basedOn w:val="List4"/>
    <w:rsid w:val="00001CD0"/>
    <w:pPr>
      <w:numPr>
        <w:numId w:val="4"/>
      </w:numPr>
    </w:pPr>
  </w:style>
  <w:style w:type="paragraph" w:styleId="ListNumber5">
    <w:name w:val="List Number 5"/>
    <w:basedOn w:val="List5"/>
    <w:rsid w:val="00001CD0"/>
    <w:pPr>
      <w:numPr>
        <w:numId w:val="5"/>
      </w:numPr>
    </w:pPr>
  </w:style>
  <w:style w:type="paragraph" w:styleId="BlockText">
    <w:name w:val="Block Text"/>
    <w:basedOn w:val="Normal"/>
    <w:rsid w:val="00001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CD0"/>
    <w:rPr>
      <w:sz w:val="16"/>
      <w:vertAlign w:val="superscript"/>
    </w:rPr>
  </w:style>
  <w:style w:type="character" w:customStyle="1" w:styleId="Symbols">
    <w:name w:val="Symbols"/>
    <w:basedOn w:val="DefaultParagraphFont"/>
    <w:rsid w:val="00001CD0"/>
    <w:rPr>
      <w:rFonts w:ascii="Symbol" w:hAnsi="Symbol"/>
    </w:rPr>
  </w:style>
  <w:style w:type="character" w:customStyle="1" w:styleId="MenuOptions">
    <w:name w:val="Menu Options"/>
    <w:basedOn w:val="DefaultParagraphFont"/>
    <w:rsid w:val="00001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CD0"/>
    <w:rPr>
      <w:b/>
    </w:rPr>
  </w:style>
  <w:style w:type="character" w:customStyle="1" w:styleId="Underlined">
    <w:name w:val="Underlined"/>
    <w:basedOn w:val="DefaultParagraphFont"/>
    <w:rsid w:val="00001CD0"/>
    <w:rPr>
      <w:u w:val="single"/>
    </w:rPr>
  </w:style>
  <w:style w:type="paragraph" w:customStyle="1" w:styleId="TableBodyTextRight">
    <w:name w:val="Table Body Text Right"/>
    <w:basedOn w:val="TableBodyText"/>
    <w:rsid w:val="00001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CD0"/>
    <w:rPr>
      <w:sz w:val="18"/>
    </w:rPr>
  </w:style>
  <w:style w:type="paragraph" w:customStyle="1" w:styleId="BodySmallRight">
    <w:name w:val="Body Small Right"/>
    <w:basedOn w:val="BodyTextRight"/>
    <w:rsid w:val="00001CD0"/>
    <w:rPr>
      <w:sz w:val="18"/>
      <w:szCs w:val="18"/>
    </w:rPr>
  </w:style>
  <w:style w:type="paragraph" w:customStyle="1" w:styleId="MarginEdition">
    <w:name w:val="Margin Edition"/>
    <w:basedOn w:val="MarginNote"/>
    <w:rsid w:val="00001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CD0"/>
    <w:rPr>
      <w:sz w:val="2"/>
      <w:szCs w:val="2"/>
    </w:rPr>
  </w:style>
  <w:style w:type="character" w:customStyle="1" w:styleId="Small">
    <w:name w:val="Small"/>
    <w:basedOn w:val="DefaultParagraphFont"/>
    <w:rsid w:val="00001CD0"/>
    <w:rPr>
      <w:sz w:val="16"/>
    </w:rPr>
  </w:style>
  <w:style w:type="paragraph" w:customStyle="1" w:styleId="WideTable">
    <w:name w:val="Wide Table"/>
    <w:basedOn w:val="Normal"/>
    <w:rsid w:val="00001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CD0"/>
  </w:style>
  <w:style w:type="paragraph" w:styleId="Quote">
    <w:name w:val="Quote"/>
    <w:basedOn w:val="Heading1"/>
    <w:link w:val="QuoteChar"/>
    <w:qFormat/>
    <w:rsid w:val="00001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CD0"/>
    <w:pPr>
      <w:pageBreakBefore/>
    </w:pPr>
  </w:style>
  <w:style w:type="paragraph" w:customStyle="1" w:styleId="Border">
    <w:name w:val="Border"/>
    <w:basedOn w:val="Normal"/>
    <w:qFormat/>
    <w:rsid w:val="00001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CD0"/>
    <w:rPr>
      <w:u w:val="single"/>
    </w:rPr>
  </w:style>
  <w:style w:type="character" w:customStyle="1" w:styleId="BoldandItalics">
    <w:name w:val="Bold and Italics"/>
    <w:qFormat/>
    <w:rsid w:val="00001CD0"/>
    <w:rPr>
      <w:b/>
      <w:i/>
      <w:u w:val="none"/>
    </w:rPr>
  </w:style>
  <w:style w:type="paragraph" w:styleId="BalloonText">
    <w:name w:val="Balloon Text"/>
    <w:basedOn w:val="Normal"/>
    <w:link w:val="BalloonTextChar"/>
    <w:rsid w:val="00001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C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C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CD0"/>
    <w:pPr>
      <w:spacing w:before="0" w:after="0"/>
    </w:pPr>
  </w:style>
  <w:style w:type="paragraph" w:customStyle="1" w:styleId="BodyTextBold">
    <w:name w:val="Body Text Bold"/>
    <w:basedOn w:val="BodyText"/>
    <w:qFormat/>
    <w:rsid w:val="00001CD0"/>
    <w:rPr>
      <w:b/>
    </w:rPr>
  </w:style>
  <w:style w:type="character" w:styleId="Hyperlink">
    <w:name w:val="Hyperlink"/>
    <w:basedOn w:val="DefaultParagraphFont"/>
    <w:uiPriority w:val="99"/>
    <w:unhideWhenUsed/>
    <w:rsid w:val="001C28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1110</Words>
  <Characters>6816</Characters>
  <Application>Microsoft Office Word</Application>
  <DocSecurity>0</DocSecurity>
  <Lines>309</Lines>
  <Paragraphs>146</Paragraphs>
  <ScaleCrop>false</ScaleCrop>
  <Company>Author-it Software Corporation Ltd.</Company>
  <LinksUpToDate>false</LinksUpToDate>
  <CharactersWithSpaces>7780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CPCCDE3015 Remove friable asbestos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