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14F3" w:rsidP="00FB14F3">
      <w:pPr>
        <w:pStyle w:val="Title"/>
      </w:pPr>
      <w:r>
        <w:fldChar w:fldCharType="begin"/>
      </w:r>
      <w:r>
        <w:instrText xml:space="preserve"> TITLE   \* MERGEFORMAT </w:instrText>
      </w:r>
      <w:r>
        <w:fldChar w:fldCharType="separate"/>
      </w:r>
      <w:r>
        <w:t>CPCCDE3014 Remove non-friable asbestos</w:t>
      </w:r>
      <w:r>
        <w:fldChar w:fldCharType="end"/>
      </w:r>
    </w:p>
    <w:p w:rsidR="00FB14F3" w:rsidP="00FB14F3">
      <w:pPr>
        <w:pStyle w:val="Version"/>
        <w:sectPr w:rsidSect="008C0E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C0EB7" w:rsidP="008C0EB7">
      <w:pPr>
        <w:pStyle w:val="SuperHeading"/>
      </w:pPr>
      <w:r w:rsidRPr="008C0EB7">
        <w:t>CPCCDE3014 Remove non-friable asbestos</w:t>
      </w:r>
    </w:p>
    <w:p w:rsidR="00000000" w:rsidRPr="008C0EB7" w:rsidP="008C0EB7">
      <w:pPr>
        <w:pStyle w:val="Heading1"/>
      </w:pPr>
      <w:bookmarkStart w:id="1" w:name="O_1157815"/>
      <w:bookmarkEnd w:id="1"/>
      <w:r w:rsidRPr="008C0EB7">
        <w:t>Modification History</w:t>
      </w:r>
    </w:p>
    <w:tbl>
      <w:tblPr>
        <w:tblW w:w="0" w:type="auto"/>
        <w:tblLayout w:type="fixed"/>
        <w:tblCellMar>
          <w:left w:w="62" w:type="dxa"/>
          <w:right w:w="62" w:type="dxa"/>
        </w:tblCellMar>
        <w:tblLook w:val="0000"/>
      </w:tblPr>
      <w:tblGrid>
        <w:gridCol w:w="1128"/>
        <w:gridCol w:w="7944"/>
      </w:tblGrid>
      <w:tr w:rsidTr="008C0EB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Release 2</w:t>
            </w:r>
          </w:p>
        </w:tc>
        <w:tc>
          <w:tcPr>
            <w:tcW w:w="7944" w:type="dxa"/>
            <w:tcBorders>
              <w:top w:val="nil"/>
              <w:left w:val="nil"/>
              <w:bottom w:val="nil"/>
              <w:right w:val="nil"/>
            </w:tcBorders>
            <w:tcMar>
              <w:top w:w="0" w:type="dxa"/>
              <w:left w:w="62" w:type="dxa"/>
              <w:bottom w:w="0" w:type="dxa"/>
              <w:right w:w="62" w:type="dxa"/>
            </w:tcMar>
          </w:tcPr>
          <w:p w:rsidR="00000000" w:rsidRPr="008C0EB7" w:rsidP="008C0EB7">
            <w:pPr>
              <w:pStyle w:val="BodyText"/>
            </w:pPr>
            <w:r w:rsidRPr="008C0EB7">
              <w:t>This version first released with CPC Construction, Plumbing and Services Training Package Release 5.1.</w:t>
            </w:r>
          </w:p>
          <w:p w:rsidR="00000000" w:rsidP="008C0EB7">
            <w:pPr>
              <w:pStyle w:val="BodyText"/>
              <w:rPr>
                <w:lang w:val="en-NZ"/>
              </w:rPr>
            </w:pPr>
            <w:r w:rsidRPr="008C0EB7">
              <w:t xml:space="preserve">Rectified pre-requisite unit. </w:t>
            </w:r>
          </w:p>
        </w:tc>
      </w:tr>
      <w:tr w:rsidTr="008C0EB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Release 1</w:t>
            </w:r>
          </w:p>
        </w:tc>
        <w:tc>
          <w:tcPr>
            <w:tcW w:w="7944" w:type="dxa"/>
            <w:tcBorders>
              <w:top w:val="nil"/>
              <w:left w:val="nil"/>
              <w:bottom w:val="nil"/>
              <w:right w:val="nil"/>
            </w:tcBorders>
            <w:tcMar>
              <w:top w:w="0" w:type="dxa"/>
              <w:left w:w="62" w:type="dxa"/>
              <w:bottom w:w="0" w:type="dxa"/>
              <w:right w:w="62" w:type="dxa"/>
            </w:tcMar>
          </w:tcPr>
          <w:p w:rsidR="00000000" w:rsidRPr="008C0EB7" w:rsidP="008C0EB7">
            <w:pPr>
              <w:pStyle w:val="BodyText"/>
            </w:pPr>
            <w:r w:rsidRPr="008C0EB7">
              <w:t>This version first released with CPC Construction, Plumbing and Services Trainin</w:t>
            </w:r>
            <w:r w:rsidRPr="008C0EB7">
              <w:t>g Package Release 5.0.</w:t>
            </w:r>
          </w:p>
          <w:p w:rsidR="00000000" w:rsidRPr="008C0EB7" w:rsidP="008C0EB7">
            <w:pPr>
              <w:pStyle w:val="BodyText"/>
            </w:pPr>
            <w:r w:rsidRPr="008C0EB7">
              <w:t>Supersedes and is equivalent to CPCCDE3014A Remove non-friable asbestos.  Updated to meet the Standards for Training Packages 2012.</w:t>
            </w:r>
          </w:p>
        </w:tc>
      </w:tr>
    </w:tbl>
    <w:p w:rsidR="00000000" w:rsidRPr="008C0EB7" w:rsidP="008C0EB7">
      <w:pPr>
        <w:pStyle w:val="BodyText"/>
      </w:pPr>
    </w:p>
    <w:p w:rsidR="00000000" w:rsidRPr="008C0EB7" w:rsidP="008C0EB7">
      <w:pPr>
        <w:pStyle w:val="AllowPageBreak"/>
      </w:pPr>
    </w:p>
    <w:p w:rsidR="00000000" w:rsidRPr="008C0EB7" w:rsidP="008C0EB7">
      <w:pPr>
        <w:pStyle w:val="Heading1"/>
      </w:pPr>
      <w:bookmarkStart w:id="2" w:name="O_1157814"/>
      <w:bookmarkEnd w:id="2"/>
      <w:r w:rsidRPr="008C0EB7">
        <w:t>Application</w:t>
      </w:r>
    </w:p>
    <w:p w:rsidR="00000000" w:rsidRPr="008C0EB7" w:rsidP="00FB14F3">
      <w:pPr>
        <w:pStyle w:val="BodyText"/>
      </w:pPr>
      <w:r w:rsidRPr="008C0EB7">
        <w:t>This unit of competency specifies the outcomes required to remove no</w:t>
      </w:r>
      <w:r w:rsidRPr="008C0EB7">
        <w:t>n-friable asbestos containing material (ACM).</w:t>
      </w:r>
    </w:p>
    <w:p w:rsidR="00000000" w:rsidRPr="008C0EB7" w:rsidP="00FB14F3">
      <w:pPr>
        <w:pStyle w:val="BodyText"/>
      </w:pPr>
      <w:r w:rsidRPr="008C0EB7">
        <w:t>It includes preparing, containing and removing non-friable ACM, and knowledge of decontamination and disposal requirements.</w:t>
      </w:r>
    </w:p>
    <w:p w:rsidR="00000000" w:rsidRPr="008C0EB7" w:rsidP="00FB14F3">
      <w:pPr>
        <w:pStyle w:val="BodyText"/>
      </w:pPr>
      <w:r w:rsidRPr="008C0EB7">
        <w:t>Site location can be a real workplace or simulated environment that may include domest</w:t>
      </w:r>
      <w:r w:rsidRPr="008C0EB7">
        <w:t xml:space="preserve">ic or commercial premises, a demolition site, a new worksite or an existing structure being renovated, extended, restored or maintained. </w:t>
      </w:r>
    </w:p>
    <w:p w:rsidR="00000000" w:rsidRPr="008C0EB7" w:rsidP="00FB14F3">
      <w:pPr>
        <w:pStyle w:val="BodyText"/>
      </w:pPr>
      <w:r w:rsidRPr="008C0EB7">
        <w:t>Project sites for removal of non-friable asbestos include construction sites, ships and soils.</w:t>
      </w:r>
    </w:p>
    <w:p w:rsidR="00000000" w:rsidRPr="008C0EB7" w:rsidP="00FB14F3">
      <w:pPr>
        <w:pStyle w:val="BodyText"/>
      </w:pPr>
      <w:r w:rsidRPr="008C0EB7">
        <w:t>The model work health a</w:t>
      </w:r>
      <w:r w:rsidRPr="008C0EB7">
        <w:t>nd safety (WHS) regulations</w:t>
      </w:r>
      <w:r w:rsidRPr="008C0EB7">
        <w:rPr>
          <w:rStyle w:val="Emphasis"/>
        </w:rPr>
        <w:t xml:space="preserve"> </w:t>
      </w:r>
      <w:r w:rsidRPr="008C0EB7">
        <w:t>and the</w:t>
      </w:r>
      <w:r w:rsidRPr="008C0EB7">
        <w:rPr>
          <w:rStyle w:val="Emphasis"/>
        </w:rPr>
        <w:t xml:space="preserve"> </w:t>
      </w:r>
      <w:r w:rsidRPr="008C0EB7">
        <w:t>Code of Practice: How to safely remove asbestos (2018) requires workers to hold certification for the class of licensed asbestos removal work they will be undertaking. Completion of this unit of competency is certificati</w:t>
      </w:r>
      <w:r w:rsidRPr="008C0EB7">
        <w:t xml:space="preserve">on to undertake non-friable (Class B) removal work. </w:t>
      </w:r>
    </w:p>
    <w:p w:rsidR="00000000" w:rsidRPr="008C0EB7" w:rsidP="00FB14F3">
      <w:pPr>
        <w:pStyle w:val="BodyText"/>
      </w:pPr>
      <w:r w:rsidRPr="008C0EB7">
        <w:t>Occupational licenses are required nationally. This unit is required for all ACM removal workers engaged in the removal of more than ten square metres of non-friable ACM.</w:t>
      </w:r>
    </w:p>
    <w:p w:rsidR="00000000" w:rsidRPr="008C0EB7" w:rsidP="00FB14F3">
      <w:pPr>
        <w:pStyle w:val="BodyText"/>
      </w:pPr>
      <w:r w:rsidRPr="008C0EB7">
        <w:t>Candidates are advised to consul</w:t>
      </w:r>
      <w:r w:rsidRPr="008C0EB7">
        <w:t>t with the relevant state and territory regulatory authorities to confirm specific jurisdictional licensing requirements to remove non-friable ACM.</w:t>
      </w:r>
    </w:p>
    <w:p w:rsidR="00000000" w:rsidRPr="008C0EB7" w:rsidP="008C0EB7">
      <w:pPr>
        <w:pStyle w:val="Heading1"/>
      </w:pPr>
      <w:bookmarkStart w:id="3" w:name="O_1157813"/>
      <w:bookmarkEnd w:id="3"/>
      <w:r w:rsidRPr="008C0EB7">
        <w:t>Pre-requisite Unit</w:t>
      </w:r>
    </w:p>
    <w:p w:rsidR="00000000" w:rsidRPr="008C0EB7" w:rsidP="00FB14F3">
      <w:pPr>
        <w:pStyle w:val="BodyText"/>
      </w:pPr>
      <w:r w:rsidRPr="008C0EB7">
        <w:t>CPCCWHS1001 Prepare to work safely in the construction industry</w:t>
      </w:r>
    </w:p>
    <w:p w:rsidR="00000000" w:rsidRPr="008C0EB7" w:rsidP="008C0EB7">
      <w:pPr>
        <w:pStyle w:val="Heading1"/>
      </w:pPr>
      <w:bookmarkStart w:id="4" w:name="O_1157812"/>
      <w:bookmarkEnd w:id="4"/>
      <w:r w:rsidRPr="008C0EB7">
        <w:t>Unit Sector</w:t>
      </w:r>
    </w:p>
    <w:p w:rsidR="00000000" w:rsidRPr="008C0EB7" w:rsidP="00FB14F3">
      <w:pPr>
        <w:pStyle w:val="BodyText"/>
      </w:pPr>
      <w:r w:rsidRPr="008C0EB7">
        <w:t>Demolition</w:t>
      </w:r>
    </w:p>
    <w:p w:rsidR="00000000" w:rsidRPr="008C0EB7" w:rsidP="008C0EB7">
      <w:pPr>
        <w:pStyle w:val="Heading1"/>
      </w:pPr>
      <w:bookmarkStart w:id="5" w:name="O_1157811"/>
      <w:bookmarkEnd w:id="5"/>
      <w:r w:rsidRPr="008C0EB7">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C0EB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Performance criteria describe what needs to be done to demonstrate achievement of the element.</w:t>
            </w:r>
          </w:p>
        </w:tc>
      </w:tr>
      <w:tr w:rsidTr="008C0EB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1</w:t>
            </w:r>
          </w:p>
        </w:tc>
        <w:tc>
          <w:tcPr>
            <w:tcW w:w="2357" w:type="dxa"/>
            <w:vMerge w:val="restart"/>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Prepare for asbestos</w:t>
            </w:r>
            <w:r w:rsidRPr="008C0EB7">
              <w:t xml:space="preserve"> removal.</w:t>
            </w:r>
          </w:p>
        </w:tc>
        <w:tc>
          <w:tcPr>
            <w:tcW w:w="804"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1.1</w:t>
            </w:r>
          </w:p>
        </w:tc>
        <w:tc>
          <w:tcPr>
            <w:tcW w:w="5659"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Obtain work instructions and participate in review of asbestos removal control plan (ARCP) and safe work method statements (SWMS).</w:t>
            </w:r>
          </w:p>
        </w:tc>
      </w:tr>
      <w:tr w:rsidTr="008C0EB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1.2</w:t>
            </w:r>
          </w:p>
        </w:tc>
        <w:tc>
          <w:tcPr>
            <w:tcW w:w="5659"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Gather safety requirements and data from an on-site assessment and asbestos register where available.</w:t>
            </w:r>
          </w:p>
        </w:tc>
      </w:tr>
      <w:tr w:rsidTr="008C0EB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1.3</w:t>
            </w:r>
          </w:p>
        </w:tc>
        <w:tc>
          <w:tcPr>
            <w:tcW w:w="5659"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Use information sources to ensure the ARCP and SWMS are site-specific for the removal of asbestos materials.</w:t>
            </w:r>
          </w:p>
        </w:tc>
      </w:tr>
      <w:tr w:rsidTr="008C0EB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1.4</w:t>
            </w:r>
          </w:p>
        </w:tc>
        <w:tc>
          <w:tcPr>
            <w:tcW w:w="5659"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Select tools, equipment and personal protective equipment (PPE) consistent with job requirements to carry out tasks, check for servicea</w:t>
            </w:r>
            <w:r w:rsidRPr="008C0EB7">
              <w:t>bility, and rectify or report faults prior to commencement.</w:t>
            </w:r>
          </w:p>
        </w:tc>
      </w:tr>
      <w:tr w:rsidTr="008C0EB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1.5</w:t>
            </w:r>
          </w:p>
        </w:tc>
        <w:tc>
          <w:tcPr>
            <w:tcW w:w="5659"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Notify regulator, occupants, neighbours and other affected parties according to legislation and within limits of own responsibility and code of practice.</w:t>
            </w:r>
          </w:p>
        </w:tc>
      </w:tr>
      <w:tr w:rsidTr="008C0EB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1.6</w:t>
            </w:r>
          </w:p>
        </w:tc>
        <w:tc>
          <w:tcPr>
            <w:tcW w:w="5659"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Contribute to the preparation and use of an emergency plan, within limits of own responsibility and according to legislative and company requirements.</w:t>
            </w:r>
          </w:p>
        </w:tc>
      </w:tr>
      <w:tr w:rsidTr="008C0EB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1.7</w:t>
            </w:r>
          </w:p>
        </w:tc>
        <w:tc>
          <w:tcPr>
            <w:tcW w:w="5659"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Contribute to processes required to undertake air monitoring and to meet health monitoring require</w:t>
            </w:r>
            <w:r w:rsidRPr="008C0EB7">
              <w:t>ments in line with level of authority and responsibility and regulatory requirements.</w:t>
            </w:r>
          </w:p>
        </w:tc>
      </w:tr>
      <w:tr w:rsidTr="008C0EB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C0EB7">
            <w:pPr>
              <w:pStyle w:val="BodyText"/>
              <w:rPr>
                <w:lang w:val="en-NZ"/>
              </w:rPr>
            </w:pPr>
          </w:p>
        </w:tc>
      </w:tr>
      <w:tr w:rsidTr="008C0EB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2</w:t>
            </w:r>
          </w:p>
        </w:tc>
        <w:tc>
          <w:tcPr>
            <w:tcW w:w="2357" w:type="dxa"/>
            <w:vMerge w:val="restart"/>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Prepare asbestos removal site.</w:t>
            </w:r>
          </w:p>
        </w:tc>
        <w:tc>
          <w:tcPr>
            <w:tcW w:w="804"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2.1</w:t>
            </w:r>
          </w:p>
        </w:tc>
        <w:tc>
          <w:tcPr>
            <w:tcW w:w="5659"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Identify location of non-friable asbestos materials and confirm with supervisor location of site boundaries.</w:t>
            </w:r>
          </w:p>
        </w:tc>
      </w:tr>
      <w:tr w:rsidTr="008C0EB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2.2</w:t>
            </w:r>
          </w:p>
        </w:tc>
        <w:tc>
          <w:tcPr>
            <w:tcW w:w="5659"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 xml:space="preserve">Implement signage and barricade requirements to delineate the asbestos removal site according to ARCP. </w:t>
            </w:r>
          </w:p>
        </w:tc>
      </w:tr>
      <w:tr w:rsidTr="008C0EB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2.3</w:t>
            </w:r>
          </w:p>
        </w:tc>
        <w:tc>
          <w:tcPr>
            <w:tcW w:w="5659"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Prepare and place materials and equipment required for removal of ACM from site.</w:t>
            </w:r>
          </w:p>
        </w:tc>
      </w:tr>
      <w:tr w:rsidTr="008C0EB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C0EB7">
            <w:pPr>
              <w:pStyle w:val="BodyText"/>
              <w:rPr>
                <w:lang w:val="en-NZ"/>
              </w:rPr>
            </w:pPr>
          </w:p>
        </w:tc>
      </w:tr>
      <w:tr w:rsidTr="008C0EB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3</w:t>
            </w:r>
          </w:p>
        </w:tc>
        <w:tc>
          <w:tcPr>
            <w:tcW w:w="2357" w:type="dxa"/>
            <w:vMerge w:val="restart"/>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Set up asbestos work area.</w:t>
            </w:r>
          </w:p>
        </w:tc>
        <w:tc>
          <w:tcPr>
            <w:tcW w:w="804"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3.1</w:t>
            </w:r>
          </w:p>
        </w:tc>
        <w:tc>
          <w:tcPr>
            <w:tcW w:w="5659"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 xml:space="preserve">Designate boundaries of asbestos work area according to ARCP requirements. </w:t>
            </w:r>
          </w:p>
        </w:tc>
      </w:tr>
      <w:tr w:rsidTr="008C0EB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3.2</w:t>
            </w:r>
          </w:p>
        </w:tc>
        <w:tc>
          <w:tcPr>
            <w:tcW w:w="5659"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Set up decontamination according to ARCP.</w:t>
            </w:r>
          </w:p>
        </w:tc>
      </w:tr>
      <w:tr w:rsidTr="008C0EB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3.3</w:t>
            </w:r>
          </w:p>
        </w:tc>
        <w:tc>
          <w:tcPr>
            <w:tcW w:w="5659"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Set up asbestos waste storage and waste transit route according to ARCP.</w:t>
            </w:r>
          </w:p>
        </w:tc>
      </w:tr>
      <w:tr w:rsidTr="008C0EB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3.4</w:t>
            </w:r>
          </w:p>
        </w:tc>
        <w:tc>
          <w:tcPr>
            <w:tcW w:w="5659"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 xml:space="preserve">Undertake processes to ensure the safety of the site, including deactivating or securing utilities where necessary prior to commencing work. </w:t>
            </w:r>
          </w:p>
        </w:tc>
      </w:tr>
      <w:tr w:rsidTr="008C0EB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C0EB7">
            <w:pPr>
              <w:pStyle w:val="BodyText"/>
              <w:rPr>
                <w:lang w:val="en-NZ"/>
              </w:rPr>
            </w:pPr>
          </w:p>
        </w:tc>
      </w:tr>
      <w:tr w:rsidTr="008C0EB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4</w:t>
            </w:r>
          </w:p>
        </w:tc>
        <w:tc>
          <w:tcPr>
            <w:tcW w:w="2357" w:type="dxa"/>
            <w:vMerge w:val="restart"/>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Remove non-friable asbestos.</w:t>
            </w:r>
          </w:p>
        </w:tc>
        <w:tc>
          <w:tcPr>
            <w:tcW w:w="804"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4.1</w:t>
            </w:r>
          </w:p>
        </w:tc>
        <w:tc>
          <w:tcPr>
            <w:tcW w:w="5659"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Fit-check respiratory protective equipment (RPE) and fit PPE.</w:t>
            </w:r>
          </w:p>
        </w:tc>
      </w:tr>
      <w:tr w:rsidTr="008C0EB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4.2</w:t>
            </w:r>
          </w:p>
        </w:tc>
        <w:tc>
          <w:tcPr>
            <w:tcW w:w="5659"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Wet down or spray work area with particle binder.</w:t>
            </w:r>
          </w:p>
        </w:tc>
      </w:tr>
      <w:tr w:rsidTr="008C0EB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4.3</w:t>
            </w:r>
          </w:p>
        </w:tc>
        <w:tc>
          <w:tcPr>
            <w:tcW w:w="5659"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Carry out asbestos removal ensuring airborne asbestos fibres are kept to a minimum (i.e. appropriate tools, wet removal, minimise breakage, good handling techniques).</w:t>
            </w:r>
          </w:p>
        </w:tc>
      </w:tr>
      <w:tr w:rsidTr="008C0EB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4.4</w:t>
            </w:r>
          </w:p>
        </w:tc>
        <w:tc>
          <w:tcPr>
            <w:tcW w:w="5659"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Contain, wrap or otherwis</w:t>
            </w:r>
            <w:r w:rsidRPr="008C0EB7">
              <w:t>e seal the wet asbestos, place into removal bags or bins, seal and label according to ARCP.</w:t>
            </w:r>
          </w:p>
        </w:tc>
      </w:tr>
      <w:tr w:rsidTr="008C0EB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C0EB7">
            <w:pPr>
              <w:pStyle w:val="BodyText"/>
              <w:rPr>
                <w:lang w:val="en-NZ"/>
              </w:rPr>
            </w:pPr>
          </w:p>
        </w:tc>
      </w:tr>
      <w:tr w:rsidTr="008C0EB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5</w:t>
            </w:r>
          </w:p>
        </w:tc>
        <w:tc>
          <w:tcPr>
            <w:tcW w:w="2357" w:type="dxa"/>
            <w:vMerge w:val="restart"/>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Carry out decontamination process.</w:t>
            </w:r>
          </w:p>
        </w:tc>
        <w:tc>
          <w:tcPr>
            <w:tcW w:w="804"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5.1</w:t>
            </w:r>
          </w:p>
        </w:tc>
        <w:tc>
          <w:tcPr>
            <w:tcW w:w="5659"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 xml:space="preserve">Carry out decontamination of the work area and tools according to ARCP. </w:t>
            </w:r>
          </w:p>
        </w:tc>
      </w:tr>
      <w:tr w:rsidTr="008C0EB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5.2</w:t>
            </w:r>
          </w:p>
        </w:tc>
        <w:tc>
          <w:tcPr>
            <w:tcW w:w="5659"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 xml:space="preserve">Carry out personal decontamination according to ARCP. </w:t>
            </w:r>
          </w:p>
        </w:tc>
      </w:tr>
      <w:tr w:rsidTr="008C0EB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C0EB7">
            <w:pPr>
              <w:pStyle w:val="BodyText"/>
              <w:rPr>
                <w:lang w:val="en-NZ"/>
              </w:rPr>
            </w:pPr>
          </w:p>
        </w:tc>
      </w:tr>
      <w:tr w:rsidTr="008C0EB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6</w:t>
            </w:r>
          </w:p>
        </w:tc>
        <w:tc>
          <w:tcPr>
            <w:tcW w:w="2357" w:type="dxa"/>
            <w:vMerge w:val="restart"/>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Clean up work area.</w:t>
            </w:r>
          </w:p>
        </w:tc>
        <w:tc>
          <w:tcPr>
            <w:tcW w:w="804"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6.1</w:t>
            </w:r>
          </w:p>
        </w:tc>
        <w:tc>
          <w:tcPr>
            <w:tcW w:w="5659"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Remove asbestos waste materials and equipment from the area according to ARCP.</w:t>
            </w:r>
          </w:p>
        </w:tc>
      </w:tr>
      <w:tr w:rsidTr="008C0EB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6.2</w:t>
            </w:r>
          </w:p>
        </w:tc>
        <w:tc>
          <w:tcPr>
            <w:tcW w:w="5659"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 xml:space="preserve">Store tools, plant and equipment according to manufacturer recommendations and regulatory requirements to ensure site is ready for clearance inspection. </w:t>
            </w:r>
          </w:p>
        </w:tc>
      </w:tr>
      <w:tr w:rsidTr="008C0EB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6.3</w:t>
            </w:r>
          </w:p>
        </w:tc>
        <w:tc>
          <w:tcPr>
            <w:tcW w:w="5659"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Take steps to ensure clearance inspection require</w:t>
            </w:r>
            <w:r w:rsidRPr="008C0EB7">
              <w:t>ments are met, within the limits of own responsibility and to ensure clearance certificate is gained from a competent person or licensed asbestos assessor.</w:t>
            </w:r>
          </w:p>
        </w:tc>
      </w:tr>
      <w:tr w:rsidTr="008C0EB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C0EB7">
            <w:pPr>
              <w:pStyle w:val="BodyText"/>
              <w:rPr>
                <w:lang w:val="en-NZ"/>
              </w:rPr>
            </w:pPr>
          </w:p>
        </w:tc>
      </w:tr>
      <w:tr w:rsidTr="008C0EB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7</w:t>
            </w:r>
          </w:p>
        </w:tc>
        <w:tc>
          <w:tcPr>
            <w:tcW w:w="2357" w:type="dxa"/>
            <w:vMerge w:val="restart"/>
            <w:tcBorders>
              <w:top w:val="nil"/>
              <w:left w:val="nil"/>
              <w:bottom w:val="nil"/>
              <w:right w:val="nil"/>
            </w:tcBorders>
            <w:tcMar>
              <w:top w:w="0" w:type="dxa"/>
              <w:left w:w="62" w:type="dxa"/>
              <w:bottom w:w="0" w:type="dxa"/>
              <w:right w:w="62" w:type="dxa"/>
            </w:tcMar>
          </w:tcPr>
          <w:p w:rsidR="00000000" w:rsidRPr="008C0EB7" w:rsidP="008C0EB7">
            <w:pPr>
              <w:pStyle w:val="BodyText"/>
            </w:pPr>
            <w:r w:rsidRPr="008C0EB7">
              <w:t>Complete regulatory processes</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7.1</w:t>
            </w:r>
          </w:p>
        </w:tc>
        <w:tc>
          <w:tcPr>
            <w:tcW w:w="5659"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Ensure clearance inspection is undertaken prior to removi</w:t>
            </w:r>
            <w:r w:rsidRPr="008C0EB7">
              <w:t xml:space="preserve">ng signage, plant and equipment.  </w:t>
            </w:r>
          </w:p>
        </w:tc>
      </w:tr>
      <w:tr w:rsidTr="008C0EB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7.2</w:t>
            </w:r>
          </w:p>
        </w:tc>
        <w:tc>
          <w:tcPr>
            <w:tcW w:w="5659"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Contribute to the preparation and use of documentation for regulatory notification processes, within limits of own responsibility and according to legislative and company requirements.</w:t>
            </w:r>
          </w:p>
        </w:tc>
      </w:tr>
      <w:tr w:rsidTr="008C0EB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7.3</w:t>
            </w:r>
          </w:p>
        </w:tc>
        <w:tc>
          <w:tcPr>
            <w:tcW w:w="5659" w:type="dxa"/>
            <w:tcBorders>
              <w:top w:val="nil"/>
              <w:left w:val="nil"/>
              <w:bottom w:val="nil"/>
              <w:right w:val="nil"/>
            </w:tcBorders>
            <w:tcMar>
              <w:top w:w="0" w:type="dxa"/>
              <w:left w:w="62" w:type="dxa"/>
              <w:bottom w:w="0" w:type="dxa"/>
              <w:right w:w="62" w:type="dxa"/>
            </w:tcMar>
          </w:tcPr>
          <w:p w:rsidR="00000000" w:rsidRPr="008C0EB7" w:rsidP="008C0EB7">
            <w:pPr>
              <w:pStyle w:val="BodyText"/>
            </w:pPr>
            <w:r w:rsidRPr="008C0EB7">
              <w:t>Provide stakeholders with clearance inspection certificate prior to reoccupation, as required.</w:t>
            </w:r>
          </w:p>
        </w:tc>
      </w:tr>
    </w:tbl>
    <w:p w:rsidR="00000000" w:rsidRPr="008C0EB7" w:rsidP="008C0EB7">
      <w:pPr>
        <w:pStyle w:val="BodyText"/>
      </w:pPr>
    </w:p>
    <w:p w:rsidR="00000000" w:rsidRPr="008C0EB7" w:rsidP="008C0EB7">
      <w:pPr>
        <w:pStyle w:val="AllowPageBreak"/>
      </w:pPr>
    </w:p>
    <w:p w:rsidR="00000000" w:rsidRPr="008C0EB7" w:rsidP="008C0EB7">
      <w:pPr>
        <w:pStyle w:val="Heading1"/>
      </w:pPr>
      <w:bookmarkStart w:id="6" w:name="O_1157810"/>
      <w:bookmarkEnd w:id="6"/>
      <w:r w:rsidRPr="008C0EB7">
        <w:t>Foundation Skills</w:t>
      </w:r>
    </w:p>
    <w:p w:rsidR="00000000" w:rsidRPr="008C0EB7" w:rsidP="00FB14F3">
      <w:pPr>
        <w:pStyle w:val="BodyText"/>
      </w:pPr>
      <w:r w:rsidRPr="008C0EB7">
        <w:t xml:space="preserve">Foundation skills essential to performance are explicit in the performance criteria of this unit of competency. </w:t>
      </w:r>
    </w:p>
    <w:p w:rsidR="00000000" w:rsidRPr="008C0EB7" w:rsidP="008C0EB7">
      <w:pPr>
        <w:pStyle w:val="Heading1"/>
      </w:pPr>
      <w:bookmarkStart w:id="7" w:name="O_1157809"/>
      <w:bookmarkEnd w:id="7"/>
      <w:r w:rsidRPr="008C0EB7">
        <w:t>Unit Mapping Information</w:t>
      </w:r>
    </w:p>
    <w:p w:rsidR="00000000" w:rsidRPr="008C0EB7" w:rsidP="00FB14F3">
      <w:pPr>
        <w:pStyle w:val="BodyText"/>
      </w:pPr>
      <w:r w:rsidRPr="008C0EB7">
        <w:t>Supersedes and is equivalent to CPCCDE3014A Remove non-friable asbestos.</w:t>
      </w:r>
    </w:p>
    <w:p w:rsidR="00000000" w:rsidRPr="008C0EB7" w:rsidP="008C0EB7">
      <w:pPr>
        <w:pStyle w:val="Heading1"/>
      </w:pPr>
      <w:bookmarkStart w:id="8" w:name="O_1157816"/>
      <w:bookmarkEnd w:id="8"/>
      <w:r w:rsidRPr="008C0EB7">
        <w:t>Links</w:t>
      </w:r>
    </w:p>
    <w:p w:rsidR="00000000" w:rsidRPr="008C0EB7" w:rsidP="00FB14F3">
      <w:pPr>
        <w:pStyle w:val="BodyText"/>
      </w:pPr>
      <w:r w:rsidRPr="008C0EB7">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FB3A73">
        <w:rPr>
          <w:rStyle w:val="Hyperlink"/>
        </w:rPr>
        <w:t>https://vetnet.gov.au/Pages/TrainingDocs.aspx?q=7e15fa6a-68b8-4097-b099-030a5569b1ad</w:t>
      </w:r>
      <w:r>
        <w:fldChar w:fldCharType="end"/>
      </w:r>
    </w:p>
    <w:p w:rsidR="00000000" w:rsidRPr="008C0EB7" w:rsidP="00FB14F3">
      <w:pPr>
        <w:pStyle w:val="BodyText"/>
        <w:sectPr w:rsidSect="008C0EB7">
          <w:headerReference w:type="default" r:id="rId10"/>
          <w:footerReference w:type="default" r:id="rId11"/>
          <w:pgSz w:w="11908" w:h="16833"/>
          <w:pgMar w:top="1702" w:right="1418" w:bottom="1702" w:left="1418" w:header="992" w:footer="992" w:gutter="0"/>
          <w:cols w:space="720"/>
          <w:noEndnote/>
          <w:docGrid w:linePitch="299"/>
        </w:sectPr>
      </w:pPr>
    </w:p>
    <w:p w:rsidR="00000000" w:rsidRPr="008C0EB7" w:rsidP="008C0EB7">
      <w:pPr>
        <w:pStyle w:val="SuperHeading"/>
      </w:pPr>
      <w:r w:rsidRPr="008C0EB7">
        <w:t>Assessment Requirements for CPCCDE3014 Remove non-friable asbestos</w:t>
      </w:r>
    </w:p>
    <w:p w:rsidR="00000000" w:rsidRPr="008C0EB7" w:rsidP="008C0EB7">
      <w:pPr>
        <w:pStyle w:val="Heading1"/>
      </w:pPr>
      <w:bookmarkStart w:id="9" w:name="O_1157807"/>
      <w:bookmarkEnd w:id="9"/>
      <w:r w:rsidRPr="008C0EB7">
        <w:t>Modification History</w:t>
      </w:r>
    </w:p>
    <w:tbl>
      <w:tblPr>
        <w:tblW w:w="0" w:type="auto"/>
        <w:tblLayout w:type="fixed"/>
        <w:tblCellMar>
          <w:left w:w="62" w:type="dxa"/>
          <w:right w:w="62" w:type="dxa"/>
        </w:tblCellMar>
        <w:tblLook w:val="0000"/>
      </w:tblPr>
      <w:tblGrid>
        <w:gridCol w:w="1128"/>
        <w:gridCol w:w="7944"/>
      </w:tblGrid>
      <w:tr w:rsidTr="008C0EB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Release 2</w:t>
            </w:r>
          </w:p>
        </w:tc>
        <w:tc>
          <w:tcPr>
            <w:tcW w:w="7944" w:type="dxa"/>
            <w:tcBorders>
              <w:top w:val="nil"/>
              <w:left w:val="nil"/>
              <w:bottom w:val="nil"/>
              <w:right w:val="nil"/>
            </w:tcBorders>
            <w:tcMar>
              <w:top w:w="0" w:type="dxa"/>
              <w:left w:w="62" w:type="dxa"/>
              <w:bottom w:w="0" w:type="dxa"/>
              <w:right w:w="62" w:type="dxa"/>
            </w:tcMar>
          </w:tcPr>
          <w:p w:rsidR="00000000" w:rsidRPr="008C0EB7" w:rsidP="008C0EB7">
            <w:pPr>
              <w:pStyle w:val="BodyText"/>
            </w:pPr>
            <w:r w:rsidRPr="008C0EB7">
              <w:t>This version first released with CPC Const</w:t>
            </w:r>
            <w:r w:rsidRPr="008C0EB7">
              <w:t>ruction, Plumbing and Services Training Package Release 5.1.</w:t>
            </w:r>
          </w:p>
          <w:p w:rsidR="00000000" w:rsidP="008C0EB7">
            <w:pPr>
              <w:pStyle w:val="BodyText"/>
              <w:rPr>
                <w:lang w:val="en-NZ"/>
              </w:rPr>
            </w:pPr>
            <w:r w:rsidRPr="008C0EB7">
              <w:t xml:space="preserve">Rectified pre-requisite unit. </w:t>
            </w:r>
          </w:p>
        </w:tc>
      </w:tr>
      <w:tr w:rsidTr="008C0EB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C0EB7">
            <w:pPr>
              <w:pStyle w:val="BodyText"/>
              <w:rPr>
                <w:lang w:val="en-NZ"/>
              </w:rPr>
            </w:pPr>
            <w:r w:rsidRPr="008C0EB7">
              <w:t>Release 1</w:t>
            </w:r>
          </w:p>
        </w:tc>
        <w:tc>
          <w:tcPr>
            <w:tcW w:w="7944" w:type="dxa"/>
            <w:tcBorders>
              <w:top w:val="nil"/>
              <w:left w:val="nil"/>
              <w:bottom w:val="nil"/>
              <w:right w:val="nil"/>
            </w:tcBorders>
            <w:tcMar>
              <w:top w:w="0" w:type="dxa"/>
              <w:left w:w="62" w:type="dxa"/>
              <w:bottom w:w="0" w:type="dxa"/>
              <w:right w:w="62" w:type="dxa"/>
            </w:tcMar>
          </w:tcPr>
          <w:p w:rsidR="00000000" w:rsidRPr="008C0EB7" w:rsidP="008C0EB7">
            <w:pPr>
              <w:pStyle w:val="BodyText"/>
            </w:pPr>
            <w:r w:rsidRPr="008C0EB7">
              <w:t>This version first released with CPC Construction, Plumbing and Services Training Package Release 5.0.</w:t>
            </w:r>
          </w:p>
          <w:p w:rsidR="00000000" w:rsidRPr="008C0EB7" w:rsidP="008C0EB7">
            <w:pPr>
              <w:pStyle w:val="BodyText"/>
            </w:pPr>
            <w:r w:rsidRPr="008C0EB7">
              <w:t>Supersedes and is equivalent to CPCCDE3014A Remove</w:t>
            </w:r>
            <w:r w:rsidRPr="008C0EB7">
              <w:t xml:space="preserve"> non-friable asbestos.  Updated to meet the Standards for Training Packages 2012.</w:t>
            </w:r>
          </w:p>
        </w:tc>
      </w:tr>
    </w:tbl>
    <w:p w:rsidR="00000000" w:rsidRPr="008C0EB7" w:rsidP="008C0EB7">
      <w:pPr>
        <w:pStyle w:val="BodyText"/>
      </w:pPr>
    </w:p>
    <w:p w:rsidR="00000000" w:rsidRPr="008C0EB7" w:rsidP="008C0EB7">
      <w:pPr>
        <w:pStyle w:val="AllowPageBreak"/>
      </w:pPr>
    </w:p>
    <w:p w:rsidR="00000000" w:rsidRPr="008C0EB7" w:rsidP="008C0EB7">
      <w:pPr>
        <w:pStyle w:val="Heading1"/>
      </w:pPr>
      <w:bookmarkStart w:id="10" w:name="O_1157806"/>
      <w:bookmarkEnd w:id="10"/>
      <w:r w:rsidRPr="008C0EB7">
        <w:t>Performance Evidence</w:t>
      </w:r>
    </w:p>
    <w:p w:rsidR="00000000" w:rsidRPr="008C0EB7" w:rsidP="00FB14F3">
      <w:pPr>
        <w:pStyle w:val="BodyText"/>
      </w:pPr>
      <w:r w:rsidRPr="008C0EB7">
        <w:t xml:space="preserve">To demonstrate competency in this unit, a candidate must undertake two separate non-friable asbestos removal and disposal tasks. </w:t>
      </w:r>
    </w:p>
    <w:p w:rsidR="00000000" w:rsidRPr="008C0EB7" w:rsidP="00FB14F3">
      <w:pPr>
        <w:pStyle w:val="BodyText"/>
      </w:pPr>
      <w:r w:rsidRPr="008C0EB7">
        <w:t>This must include:</w:t>
      </w:r>
    </w:p>
    <w:p w:rsidR="00000000" w:rsidRPr="008C0EB7" w:rsidP="008C0EB7">
      <w:pPr>
        <w:pStyle w:val="ListBullet"/>
      </w:pPr>
      <w:r w:rsidRPr="008C0EB7">
        <w:t>planning and preparing for removal of non-friable asbestos</w:t>
      </w:r>
    </w:p>
    <w:p w:rsidR="00000000" w:rsidRPr="008C0EB7" w:rsidP="008C0EB7">
      <w:pPr>
        <w:pStyle w:val="ListBullet"/>
      </w:pPr>
      <w:r w:rsidRPr="008C0EB7">
        <w:t>preparing non-friable asbestos removal site and removal area</w:t>
      </w:r>
    </w:p>
    <w:p w:rsidR="00000000" w:rsidRPr="008C0EB7" w:rsidP="008C0EB7">
      <w:pPr>
        <w:pStyle w:val="ListBullet"/>
      </w:pPr>
      <w:r w:rsidRPr="008C0EB7">
        <w:t xml:space="preserve">isolating non-friable removal area </w:t>
      </w:r>
    </w:p>
    <w:p w:rsidR="00000000" w:rsidRPr="008C0EB7" w:rsidP="008C0EB7">
      <w:pPr>
        <w:pStyle w:val="ListBullet"/>
      </w:pPr>
      <w:r w:rsidRPr="008C0EB7">
        <w:t>carrying out non-friable asbestos removal process</w:t>
      </w:r>
    </w:p>
    <w:p w:rsidR="00000000" w:rsidRPr="008C0EB7" w:rsidP="008C0EB7">
      <w:pPr>
        <w:pStyle w:val="ListBullet"/>
      </w:pPr>
      <w:r w:rsidRPr="008C0EB7">
        <w:t>carrying out non-friable asbes</w:t>
      </w:r>
      <w:r w:rsidRPr="008C0EB7">
        <w:t>tos decontamination process</w:t>
      </w:r>
    </w:p>
    <w:p w:rsidR="00000000" w:rsidRPr="008C0EB7" w:rsidP="008C0EB7">
      <w:pPr>
        <w:pStyle w:val="ListBullet"/>
      </w:pPr>
      <w:r w:rsidRPr="008C0EB7">
        <w:t>cleaning up removal work area after removal of non-friable asbestos.</w:t>
      </w:r>
    </w:p>
    <w:p w:rsidR="00000000" w:rsidRPr="008C0EB7" w:rsidP="00FB14F3">
      <w:pPr>
        <w:pStyle w:val="BodyText"/>
      </w:pPr>
      <w:r w:rsidRPr="008C0EB7">
        <w:t>In doing this, the candidate must meet the performance criteria for this unit.</w:t>
      </w:r>
    </w:p>
    <w:p w:rsidR="00000000" w:rsidRPr="008C0EB7" w:rsidP="008C0EB7">
      <w:pPr>
        <w:pStyle w:val="Heading1"/>
      </w:pPr>
      <w:bookmarkStart w:id="11" w:name="O_1157805"/>
      <w:bookmarkEnd w:id="11"/>
      <w:r w:rsidRPr="008C0EB7">
        <w:t>Knowledge Evidence</w:t>
      </w:r>
    </w:p>
    <w:p w:rsidR="00000000" w:rsidRPr="008C0EB7" w:rsidP="00FB14F3">
      <w:pPr>
        <w:pStyle w:val="BodyText"/>
      </w:pPr>
      <w:r w:rsidRPr="008C0EB7">
        <w:t>To be competent in this unit, a candidate must demonstrate knowledge of:</w:t>
      </w:r>
    </w:p>
    <w:p w:rsidR="00000000" w:rsidRPr="008C0EB7" w:rsidP="008C0EB7">
      <w:pPr>
        <w:pStyle w:val="ListBullet"/>
      </w:pPr>
      <w:r w:rsidRPr="008C0EB7">
        <w:t>the compliance requirements of the relevant Australian Standards, Building Code of Australia (BCA), model codes of practice, environmental and work health and safety (WHS) legislatio</w:t>
      </w:r>
      <w:r w:rsidRPr="008C0EB7">
        <w:t xml:space="preserve">n </w:t>
      </w:r>
    </w:p>
    <w:p w:rsidR="00000000" w:rsidRPr="008C0EB7" w:rsidP="008C0EB7">
      <w:pPr>
        <w:pStyle w:val="ListBullet"/>
      </w:pPr>
      <w:r w:rsidRPr="008C0EB7">
        <w:t xml:space="preserve">range of materials manufactured using asbestos, the type of asbestos used in each material, and the usual applications associated with the material, together with an understanding of: </w:t>
      </w:r>
    </w:p>
    <w:p w:rsidR="00000000" w:rsidRPr="008C0EB7" w:rsidP="008C0EB7">
      <w:pPr>
        <w:pStyle w:val="ListBullet2"/>
      </w:pPr>
      <w:r w:rsidRPr="008C0EB7">
        <w:t>health effects caused by exposure to non-friable asbestos containin</w:t>
      </w:r>
      <w:r w:rsidRPr="008C0EB7">
        <w:t xml:space="preserve">g material (ACM) and requirements for safe handling and removal </w:t>
      </w:r>
    </w:p>
    <w:p w:rsidR="00000000" w:rsidRPr="008C0EB7" w:rsidP="008C0EB7">
      <w:pPr>
        <w:pStyle w:val="ListBullet2"/>
      </w:pPr>
      <w:r w:rsidRPr="008C0EB7">
        <w:t>health impacts on the community and requirements for safe handling and disposal</w:t>
      </w:r>
    </w:p>
    <w:p w:rsidR="00000000" w:rsidRPr="008C0EB7" w:rsidP="008C0EB7">
      <w:pPr>
        <w:pStyle w:val="ListBullet"/>
      </w:pPr>
      <w:r w:rsidRPr="008C0EB7">
        <w:t>hazards, including health hazards, associated with non-friable ACM and circumstances that may change the natur</w:t>
      </w:r>
      <w:r w:rsidRPr="008C0EB7">
        <w:t>e of ACM from non-friable to friable</w:t>
      </w:r>
    </w:p>
    <w:p w:rsidR="00000000" w:rsidRPr="008C0EB7" w:rsidP="008C0EB7">
      <w:pPr>
        <w:pStyle w:val="ListBullet"/>
      </w:pPr>
      <w:r w:rsidRPr="008C0EB7">
        <w:t xml:space="preserve">safe work methods for the removal of non-friable asbestos </w:t>
      </w:r>
    </w:p>
    <w:p w:rsidR="00000000" w:rsidRPr="008C0EB7" w:rsidP="008C0EB7">
      <w:pPr>
        <w:pStyle w:val="ListBullet"/>
      </w:pPr>
      <w:r w:rsidRPr="008C0EB7">
        <w:t xml:space="preserve">requirements of current legislation and standards </w:t>
      </w:r>
    </w:p>
    <w:p w:rsidR="00000000" w:rsidRPr="008C0EB7" w:rsidP="008C0EB7">
      <w:pPr>
        <w:pStyle w:val="ListBullet"/>
      </w:pPr>
      <w:r w:rsidRPr="008C0EB7">
        <w:t xml:space="preserve">handling requirements of differing types of asbestos materials </w:t>
      </w:r>
    </w:p>
    <w:p w:rsidR="00000000" w:rsidRPr="008C0EB7" w:rsidP="008C0EB7">
      <w:pPr>
        <w:pStyle w:val="ListBullet"/>
      </w:pPr>
      <w:r w:rsidRPr="008C0EB7">
        <w:t xml:space="preserve">work area procedures </w:t>
      </w:r>
    </w:p>
    <w:p w:rsidR="00000000" w:rsidRPr="008C0EB7" w:rsidP="008C0EB7">
      <w:pPr>
        <w:pStyle w:val="ListBullet"/>
      </w:pPr>
      <w:r w:rsidRPr="008C0EB7">
        <w:t>risk assessment process</w:t>
      </w:r>
      <w:r w:rsidRPr="008C0EB7">
        <w:t>es and contingency planning, job safety analysis (JSA), safety data sheets (SDS), asbestos registers and register amendments and safe work method statements (SWMS) related to removal of non-friable asbestos</w:t>
      </w:r>
    </w:p>
    <w:p w:rsidR="00000000" w:rsidRPr="008C0EB7" w:rsidP="008C0EB7">
      <w:pPr>
        <w:pStyle w:val="ListBullet"/>
      </w:pPr>
      <w:r w:rsidRPr="008C0EB7">
        <w:t>materials storage and hazardous waste management</w:t>
      </w:r>
    </w:p>
    <w:p w:rsidR="00000000" w:rsidRPr="008C0EB7" w:rsidP="008C0EB7">
      <w:pPr>
        <w:pStyle w:val="ListBullet"/>
      </w:pPr>
      <w:r w:rsidRPr="008C0EB7">
        <w:t>method of operation, and cleaning, use and maintenance requirements of equipment</w:t>
      </w:r>
    </w:p>
    <w:p w:rsidR="00000000" w:rsidRPr="008C0EB7" w:rsidP="008C0EB7">
      <w:pPr>
        <w:pStyle w:val="ListBullet"/>
      </w:pPr>
      <w:r w:rsidRPr="008C0EB7">
        <w:t>techniques associated with removing asbestos</w:t>
      </w:r>
    </w:p>
    <w:p w:rsidR="00000000" w:rsidRPr="008C0EB7" w:rsidP="008C0EB7">
      <w:pPr>
        <w:pStyle w:val="ListBullet"/>
      </w:pPr>
      <w:r w:rsidRPr="008C0EB7">
        <w:t>types, characteristics, uses and limitations of plant and equipment involved in enclosing and removing asbestos</w:t>
      </w:r>
    </w:p>
    <w:p w:rsidR="00000000" w:rsidRPr="008C0EB7" w:rsidP="008C0EB7">
      <w:pPr>
        <w:pStyle w:val="ListBullet"/>
      </w:pPr>
      <w:r w:rsidRPr="008C0EB7">
        <w:t>workplace and equi</w:t>
      </w:r>
      <w:r w:rsidRPr="008C0EB7">
        <w:t>pment safety requirements, including other associated hazard areas</w:t>
      </w:r>
    </w:p>
    <w:p w:rsidR="00FB14F3" w:rsidP="008C0EB7">
      <w:pPr>
        <w:pStyle w:val="ListBullet"/>
      </w:pPr>
      <w:r w:rsidRPr="008C0EB7">
        <w:t>purpose and application of documentation for notification; and use of asbestos removal control plan (ARCP) and clearance inspections.</w:t>
      </w:r>
    </w:p>
    <w:p w:rsidR="00FB14F3" w:rsidP="008C0EB7">
      <w:pPr>
        <w:pStyle w:val="ListBullet"/>
      </w:pPr>
    </w:p>
    <w:p w:rsidR="00000000" w:rsidRPr="008C0EB7" w:rsidP="008C0EB7">
      <w:pPr>
        <w:pStyle w:val="Heading1"/>
      </w:pPr>
      <w:bookmarkStart w:id="12" w:name="O_1157804"/>
      <w:bookmarkEnd w:id="12"/>
      <w:r w:rsidRPr="008C0EB7">
        <w:t>Assessment Conditions</w:t>
      </w:r>
    </w:p>
    <w:p w:rsidR="00000000" w:rsidRPr="008C0EB7" w:rsidP="00FB14F3">
      <w:pPr>
        <w:pStyle w:val="BodyText"/>
      </w:pPr>
      <w:r w:rsidRPr="008C0EB7">
        <w:t>Assessors mus</w:t>
      </w:r>
      <w:r w:rsidRPr="008C0EB7">
        <w:t xml:space="preserve">t satisfy the requirements for assessors contained in the Standards for Registered Training Organisations. </w:t>
      </w:r>
    </w:p>
    <w:p w:rsidR="00000000" w:rsidRPr="008C0EB7" w:rsidP="00FB14F3">
      <w:pPr>
        <w:pStyle w:val="BodyText"/>
      </w:pPr>
      <w:r w:rsidRPr="008C0EB7">
        <w:t xml:space="preserve">Assessment of performance must be undertaken in the workplace or in a simulated workplace environment. </w:t>
      </w:r>
    </w:p>
    <w:p w:rsidR="00000000" w:rsidRPr="008C0EB7" w:rsidP="00FB14F3">
      <w:pPr>
        <w:pStyle w:val="BodyText"/>
      </w:pPr>
      <w:r w:rsidRPr="008C0EB7">
        <w:t xml:space="preserve">Assessors are responsible for ensuring that </w:t>
      </w:r>
      <w:r w:rsidRPr="008C0EB7">
        <w:t>the candidate demonstrating competency has access to:</w:t>
      </w:r>
    </w:p>
    <w:p w:rsidR="00000000" w:rsidRPr="008C0EB7" w:rsidP="008C0EB7">
      <w:pPr>
        <w:pStyle w:val="ListBullet"/>
      </w:pPr>
      <w:r w:rsidRPr="008C0EB7">
        <w:t>worksite/s and specifications for removal of non-friable asbestos</w:t>
      </w:r>
    </w:p>
    <w:p w:rsidR="00000000" w:rsidRPr="008C0EB7" w:rsidP="008C0EB7">
      <w:pPr>
        <w:pStyle w:val="ListBullet"/>
      </w:pPr>
      <w:r w:rsidRPr="008C0EB7">
        <w:t>appropriate documents, materials, tools, equipment and personal protective equipment (PPE) currently approved for use in industry, as p</w:t>
      </w:r>
      <w:r w:rsidRPr="008C0EB7">
        <w:t xml:space="preserve">er codes of practice, Australian Standards, requirements of legislation, regulations and requirements of workplace policies and as required by state, territory and Commonwealth regulators. </w:t>
      </w:r>
    </w:p>
    <w:p w:rsidR="00000000" w:rsidRPr="008C0EB7" w:rsidP="008C0EB7">
      <w:pPr>
        <w:pStyle w:val="AllowPageBreak"/>
      </w:pPr>
    </w:p>
    <w:p w:rsidR="00000000" w:rsidRPr="008C0EB7" w:rsidP="008C0EB7">
      <w:pPr>
        <w:pStyle w:val="Heading1"/>
      </w:pPr>
      <w:bookmarkStart w:id="13" w:name="O_1157817"/>
      <w:bookmarkEnd w:id="13"/>
      <w:r w:rsidRPr="008C0EB7">
        <w:t>Links</w:t>
      </w:r>
    </w:p>
    <w:p w:rsidR="00000000" w:rsidRPr="008C0EB7" w:rsidP="00FB14F3">
      <w:pPr>
        <w:pStyle w:val="BodyText"/>
      </w:pPr>
      <w:r w:rsidRPr="008C0EB7">
        <w:t>Companion volumes to this training packag</w:t>
      </w:r>
      <w:r w:rsidRPr="008C0EB7">
        <w:t xml:space="preserve">e are available at the VETNet website - </w:t>
      </w:r>
      <w:r>
        <w:fldChar w:fldCharType="begin"/>
      </w:r>
      <w:r>
        <w:instrText xml:space="preserve"> HYPERLINK "https://vetnet.gov.au/Pages/TrainingDocs.aspx?q=7e15fa6a-68b8-4097-b099-030a5569b1ad" </w:instrText>
      </w:r>
      <w:r>
        <w:fldChar w:fldCharType="separate"/>
      </w:r>
      <w:r w:rsidRPr="00FB3A73">
        <w:rPr>
          <w:rStyle w:val="Hyperlink"/>
        </w:rPr>
        <w:t>https://vetnet.gov.au/Pages/TrainingDocs.aspx?q=7e15fa6a-68b8-4097-b099-030a5569b1ad</w:t>
      </w:r>
      <w:r>
        <w:fldChar w:fldCharType="end"/>
      </w:r>
    </w:p>
    <w:p w:rsidR="00000000" w:rsidRPr="008C0EB7" w:rsidP="008C0EB7"/>
    <w:sectPr w:rsidSect="008C0E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E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EB7" w:rsidRPr="00FB14F3" w:rsidP="00FB14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E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4F3" w:rsidP="008C0E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B14F3" w:rsidP="008C0E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FB14F3" w:rsidP="008C0E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EB7" w:rsidP="008C0EB7">
    <w:pPr>
      <w:pStyle w:val="Footer"/>
      <w:framePr w:wrap="around"/>
    </w:pPr>
    <w:r>
      <w:fldChar w:fldCharType="begin"/>
    </w:r>
    <w:r>
      <w:instrText xml:space="preserve"> DOCPROPERTY  Subject  \* MERGEFORMAT </w:instrText>
    </w:r>
    <w:r>
      <w:fldChar w:fldCharType="separate"/>
    </w:r>
    <w:r w:rsidR="00FB14F3">
      <w:t>Approved</w:t>
    </w:r>
    <w:r w:rsidR="00FB14F3">
      <w:fldChar w:fldCharType="end"/>
    </w:r>
    <w:r>
      <w:tab/>
      <w:t xml:space="preserve">Page </w:t>
    </w:r>
    <w:r>
      <w:fldChar w:fldCharType="begin"/>
    </w:r>
    <w:r>
      <w:instrText xml:space="preserve"> PAGE  \* Arabic  \* MERGEFORMAT </w:instrText>
    </w:r>
    <w:r>
      <w:fldChar w:fldCharType="separate"/>
    </w:r>
    <w:r w:rsidR="00FB14F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14F3">
      <w:rPr>
        <w:noProof/>
      </w:rPr>
      <w:t>5</w:t>
    </w:r>
    <w:r>
      <w:rPr>
        <w:noProof/>
      </w:rPr>
      <w:fldChar w:fldCharType="end"/>
    </w:r>
  </w:p>
  <w:p w:rsidR="008C0EB7" w:rsidP="008C0EB7">
    <w:pPr>
      <w:pStyle w:val="Footer"/>
      <w:framePr w:wrap="around"/>
    </w:pPr>
    <w:r>
      <w:t xml:space="preserve">© Commonwealth of Australia, </w:t>
    </w:r>
    <w:r>
      <w:fldChar w:fldCharType="begin"/>
    </w:r>
    <w:r>
      <w:instrText xml:space="preserve"> DATE  \@ "yyyy"  \* MERGEFORMAT </w:instrText>
    </w:r>
    <w:r>
      <w:fldChar w:fldCharType="separate"/>
    </w:r>
    <w:r w:rsidR="00FB14F3">
      <w:rPr>
        <w:noProof/>
      </w:rPr>
      <w:t>2025</w:t>
    </w:r>
    <w:r>
      <w:fldChar w:fldCharType="end"/>
    </w:r>
    <w:r>
      <w:tab/>
    </w:r>
    <w:r>
      <w:fldChar w:fldCharType="begin"/>
    </w:r>
    <w:r>
      <w:instrText xml:space="preserve"> DOCPROPERTY  Author  \* MERGEFORMAT </w:instrText>
    </w:r>
    <w:r>
      <w:fldChar w:fldCharType="separate"/>
    </w:r>
    <w:r w:rsidR="00FB14F3">
      <w:t>BuildSkills Australia</w:t>
    </w:r>
    <w:r w:rsidR="00FB14F3">
      <w:fldChar w:fldCharType="end"/>
    </w:r>
  </w:p>
  <w:p w:rsidR="008C0EB7" w:rsidP="008C0E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E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4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0EB7" w:rsidRPr="00FB14F3" w:rsidP="00FB14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E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4F3" w:rsidRPr="002D2AF8" w:rsidP="008C0EB7">
    <w:pPr>
      <w:pStyle w:val="Header"/>
      <w:framePr w:wrap="around"/>
    </w:pPr>
    <w:r>
      <w:fldChar w:fldCharType="begin"/>
    </w:r>
    <w:r>
      <w:instrText xml:space="preserve"> TITLE   \* MERGEFORMAT </w:instrText>
    </w:r>
    <w:r>
      <w:fldChar w:fldCharType="separate"/>
    </w:r>
    <w:r>
      <w:t>CPCCDE3014 Remove non-friable asbestos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B14F3" w:rsidP="008C0E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EB7" w:rsidRPr="002D2AF8" w:rsidP="008C0EB7">
    <w:pPr>
      <w:pStyle w:val="Header"/>
      <w:framePr w:wrap="around"/>
    </w:pPr>
    <w:r>
      <w:fldChar w:fldCharType="begin"/>
    </w:r>
    <w:r>
      <w:instrText xml:space="preserve"> TITLE   \* MERGEFORMAT </w:instrText>
    </w:r>
    <w:r>
      <w:fldChar w:fldCharType="separate"/>
    </w:r>
    <w:r w:rsidR="00FB14F3">
      <w:t>CPCCDE3014 Remove non-friable asbestos</w:t>
    </w:r>
    <w:r w:rsidR="00FB14F3">
      <w:fldChar w:fldCharType="end"/>
    </w:r>
    <w:r>
      <w:tab/>
      <w:t xml:space="preserve">Date this document was generated: </w:t>
    </w:r>
    <w:r>
      <w:fldChar w:fldCharType="begin"/>
    </w:r>
    <w:r>
      <w:instrText xml:space="preserve"> CREATEDATE  \@ "d MMMM yyyy"  \* MERGEFORMAT </w:instrText>
    </w:r>
    <w:r>
      <w:fldChar w:fldCharType="separate"/>
    </w:r>
    <w:r w:rsidR="00FB14F3">
      <w:rPr>
        <w:noProof/>
      </w:rPr>
      <w:t>1 March 2025</w:t>
    </w:r>
    <w:r>
      <w:fldChar w:fldCharType="end"/>
    </w:r>
  </w:p>
  <w:p w:rsidR="008C0EB7" w:rsidP="008C0E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108A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BCAD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48FB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E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0EB7"/>
    <w:pPr>
      <w:spacing w:before="360" w:after="60"/>
      <w:outlineLvl w:val="0"/>
    </w:pPr>
    <w:rPr>
      <w:sz w:val="32"/>
    </w:rPr>
  </w:style>
  <w:style w:type="paragraph" w:styleId="Heading2">
    <w:name w:val="heading 2"/>
    <w:basedOn w:val="HeadingBase"/>
    <w:next w:val="BodyText"/>
    <w:link w:val="Heading2Char"/>
    <w:qFormat/>
    <w:rsid w:val="008C0EB7"/>
    <w:pPr>
      <w:keepLines/>
      <w:spacing w:before="240" w:after="120"/>
      <w:outlineLvl w:val="1"/>
    </w:pPr>
    <w:rPr>
      <w:sz w:val="28"/>
      <w:szCs w:val="40"/>
    </w:rPr>
  </w:style>
  <w:style w:type="paragraph" w:styleId="Heading3">
    <w:name w:val="heading 3"/>
    <w:basedOn w:val="HeadingBase"/>
    <w:next w:val="BodyText"/>
    <w:link w:val="Heading3Char"/>
    <w:qFormat/>
    <w:rsid w:val="008C0EB7"/>
    <w:pPr>
      <w:spacing w:before="180" w:after="120"/>
      <w:outlineLvl w:val="2"/>
    </w:pPr>
    <w:rPr>
      <w:spacing w:val="-10"/>
      <w:kern w:val="32"/>
    </w:rPr>
  </w:style>
  <w:style w:type="paragraph" w:styleId="Heading4">
    <w:name w:val="heading 4"/>
    <w:basedOn w:val="HeadingBase"/>
    <w:next w:val="BodyText"/>
    <w:link w:val="Heading4Char"/>
    <w:qFormat/>
    <w:rsid w:val="008C0EB7"/>
    <w:pPr>
      <w:spacing w:before="160" w:after="120"/>
      <w:outlineLvl w:val="3"/>
    </w:pPr>
    <w:rPr>
      <w:sz w:val="22"/>
    </w:rPr>
  </w:style>
  <w:style w:type="paragraph" w:styleId="Heading5">
    <w:name w:val="heading 5"/>
    <w:basedOn w:val="HeadingBase"/>
    <w:next w:val="Normal"/>
    <w:link w:val="Heading5Char"/>
    <w:qFormat/>
    <w:rsid w:val="008C0EB7"/>
    <w:pPr>
      <w:spacing w:before="80"/>
      <w:outlineLvl w:val="4"/>
    </w:pPr>
    <w:rPr>
      <w:color w:val="918585"/>
      <w:sz w:val="20"/>
    </w:rPr>
  </w:style>
  <w:style w:type="paragraph" w:styleId="Heading6">
    <w:name w:val="heading 6"/>
    <w:basedOn w:val="HeadingBase"/>
    <w:next w:val="Normal"/>
    <w:link w:val="Heading6Char"/>
    <w:qFormat/>
    <w:rsid w:val="008C0EB7"/>
    <w:pPr>
      <w:spacing w:before="60"/>
      <w:outlineLvl w:val="5"/>
    </w:pPr>
    <w:rPr>
      <w:color w:val="918585"/>
      <w:sz w:val="20"/>
    </w:rPr>
  </w:style>
  <w:style w:type="paragraph" w:styleId="Heading7">
    <w:name w:val="heading 7"/>
    <w:basedOn w:val="Normal"/>
    <w:next w:val="Normal"/>
    <w:link w:val="Heading7Char"/>
    <w:qFormat/>
    <w:rsid w:val="008C0EB7"/>
    <w:pPr>
      <w:ind w:left="720"/>
      <w:outlineLvl w:val="6"/>
    </w:pPr>
    <w:rPr>
      <w:i/>
    </w:rPr>
  </w:style>
  <w:style w:type="paragraph" w:styleId="Heading8">
    <w:name w:val="heading 8"/>
    <w:basedOn w:val="Normal"/>
    <w:next w:val="Normal"/>
    <w:link w:val="Heading8Char"/>
    <w:qFormat/>
    <w:rsid w:val="008C0EB7"/>
    <w:pPr>
      <w:ind w:left="720"/>
      <w:outlineLvl w:val="7"/>
    </w:pPr>
    <w:rPr>
      <w:i/>
    </w:rPr>
  </w:style>
  <w:style w:type="paragraph" w:styleId="Heading9">
    <w:name w:val="heading 9"/>
    <w:basedOn w:val="Normal"/>
    <w:next w:val="Normal"/>
    <w:link w:val="Heading9Char"/>
    <w:qFormat/>
    <w:rsid w:val="008C0EB7"/>
    <w:pPr>
      <w:ind w:left="720"/>
      <w:outlineLvl w:val="8"/>
    </w:pPr>
    <w:rPr>
      <w:i/>
    </w:rPr>
  </w:style>
  <w:style w:type="character" w:default="1" w:styleId="DefaultParagraphFont">
    <w:name w:val="Default Paragraph Font"/>
    <w:uiPriority w:val="1"/>
    <w:unhideWhenUsed/>
    <w:rsid w:val="008C0E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0EB7"/>
  </w:style>
  <w:style w:type="character" w:customStyle="1" w:styleId="Heading1Char">
    <w:name w:val="Heading 1 Char"/>
    <w:basedOn w:val="DefaultParagraphFont"/>
    <w:link w:val="Heading1"/>
    <w:rsid w:val="008C0EB7"/>
    <w:rPr>
      <w:rFonts w:ascii="Times New Roman" w:eastAsia="Times New Roman" w:hAnsi="Times New Roman" w:cs="Times New Roman"/>
      <w:b/>
      <w:sz w:val="32"/>
      <w:szCs w:val="20"/>
      <w:lang w:eastAsia="en-US"/>
    </w:rPr>
  </w:style>
  <w:style w:type="paragraph" w:styleId="BodyText">
    <w:name w:val="Body Text"/>
    <w:basedOn w:val="Normal"/>
    <w:link w:val="BodyTextChar"/>
    <w:rsid w:val="008C0E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0EB7"/>
    <w:rPr>
      <w:rFonts w:ascii="Times New Roman" w:eastAsia="Times New Roman" w:hAnsi="Times New Roman" w:cs="Times New Roman"/>
      <w:sz w:val="24"/>
      <w:lang w:eastAsia="en-US"/>
    </w:rPr>
  </w:style>
  <w:style w:type="paragraph" w:styleId="ListBullet">
    <w:name w:val="List Bullet"/>
    <w:basedOn w:val="List"/>
    <w:rsid w:val="008C0EB7"/>
    <w:pPr>
      <w:numPr>
        <w:numId w:val="12"/>
      </w:numPr>
      <w:tabs>
        <w:tab w:val="clear" w:pos="340"/>
      </w:tabs>
      <w:spacing w:before="40" w:after="40"/>
    </w:pPr>
  </w:style>
  <w:style w:type="paragraph" w:styleId="ListBullet2">
    <w:name w:val="List Bullet 2"/>
    <w:basedOn w:val="List2"/>
    <w:rsid w:val="008C0EB7"/>
    <w:pPr>
      <w:numPr>
        <w:numId w:val="13"/>
      </w:numPr>
      <w:tabs>
        <w:tab w:val="clear" w:pos="680"/>
      </w:tabs>
    </w:pPr>
  </w:style>
  <w:style w:type="character" w:styleId="Emphasis">
    <w:name w:val="Emphasis"/>
    <w:basedOn w:val="DefaultParagraphFont"/>
    <w:qFormat/>
    <w:rsid w:val="008C0EB7"/>
    <w:rPr>
      <w:i/>
    </w:rPr>
  </w:style>
  <w:style w:type="paragraph" w:customStyle="1" w:styleId="SuperHeading">
    <w:name w:val="SuperHeading"/>
    <w:basedOn w:val="Normal"/>
    <w:rsid w:val="008C0EB7"/>
    <w:pPr>
      <w:spacing w:before="240" w:after="120"/>
      <w:outlineLvl w:val="0"/>
    </w:pPr>
    <w:rPr>
      <w:rFonts w:ascii="Times New Roman" w:hAnsi="Times New Roman"/>
      <w:b/>
      <w:sz w:val="32"/>
    </w:rPr>
  </w:style>
  <w:style w:type="paragraph" w:customStyle="1" w:styleId="AllowPageBreak">
    <w:name w:val="AllowPageBreak"/>
    <w:rsid w:val="008C0E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0E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0E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0E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0E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0E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0E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0E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0EB7"/>
    <w:rPr>
      <w:rFonts w:ascii="Courier New" w:eastAsia="Times New Roman" w:hAnsi="Courier New" w:cs="Times New Roman"/>
      <w:i/>
      <w:szCs w:val="20"/>
      <w:lang w:eastAsia="en-US"/>
    </w:rPr>
  </w:style>
  <w:style w:type="paragraph" w:customStyle="1" w:styleId="HeadingBase">
    <w:name w:val="Heading Base"/>
    <w:rsid w:val="008C0E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0EB7"/>
    <w:pPr>
      <w:tabs>
        <w:tab w:val="right" w:leader="dot" w:pos="9072"/>
      </w:tabs>
      <w:ind w:left="567"/>
    </w:pPr>
    <w:rPr>
      <w:szCs w:val="22"/>
    </w:rPr>
  </w:style>
  <w:style w:type="paragraph" w:customStyle="1" w:styleId="TOCBase">
    <w:name w:val="TOC Base"/>
    <w:rsid w:val="008C0E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0EB7"/>
    <w:pPr>
      <w:tabs>
        <w:tab w:val="right" w:leader="dot" w:pos="9072"/>
      </w:tabs>
      <w:spacing w:before="40" w:after="40"/>
      <w:ind w:left="284"/>
    </w:pPr>
    <w:rPr>
      <w:rFonts w:ascii="Times New Roman" w:hAnsi="Times New Roman"/>
    </w:rPr>
  </w:style>
  <w:style w:type="paragraph" w:styleId="TOC1">
    <w:name w:val="toc 1"/>
    <w:basedOn w:val="TOCBase"/>
    <w:next w:val="Normal"/>
    <w:rsid w:val="008C0E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0E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0EB7"/>
    <w:rPr>
      <w:rFonts w:ascii="Times New Roman" w:eastAsia="Times New Roman" w:hAnsi="Times New Roman" w:cs="Times New Roman"/>
      <w:sz w:val="16"/>
      <w:lang w:eastAsia="en-US"/>
    </w:rPr>
  </w:style>
  <w:style w:type="paragraph" w:styleId="Title">
    <w:name w:val="Title"/>
    <w:basedOn w:val="HeadingBase"/>
    <w:link w:val="TitleChar"/>
    <w:qFormat/>
    <w:rsid w:val="008C0EB7"/>
    <w:pPr>
      <w:spacing w:before="5040"/>
      <w:jc w:val="center"/>
    </w:pPr>
    <w:rPr>
      <w:sz w:val="48"/>
      <w:szCs w:val="72"/>
      <w:lang w:val="en-US"/>
    </w:rPr>
  </w:style>
  <w:style w:type="character" w:customStyle="1" w:styleId="TitleChar">
    <w:name w:val="Title Char"/>
    <w:basedOn w:val="DefaultParagraphFont"/>
    <w:link w:val="Title"/>
    <w:rsid w:val="008C0E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0EB7"/>
    <w:pPr>
      <w:tabs>
        <w:tab w:val="left" w:pos="3600"/>
        <w:tab w:val="left" w:pos="3958"/>
      </w:tabs>
    </w:pPr>
  </w:style>
  <w:style w:type="paragraph" w:styleId="List">
    <w:name w:val="List"/>
    <w:basedOn w:val="BodyText"/>
    <w:next w:val="BodyText"/>
    <w:rsid w:val="008C0EB7"/>
    <w:pPr>
      <w:tabs>
        <w:tab w:val="left" w:pos="340"/>
      </w:tabs>
      <w:spacing w:before="60" w:after="60"/>
      <w:ind w:left="340" w:hanging="340"/>
    </w:pPr>
  </w:style>
  <w:style w:type="paragraph" w:customStyle="1" w:styleId="Note">
    <w:name w:val="Note"/>
    <w:basedOn w:val="BodyText"/>
    <w:rsid w:val="008C0EB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C0EB7"/>
    <w:rPr>
      <w:b/>
      <w:spacing w:val="0"/>
    </w:rPr>
  </w:style>
  <w:style w:type="paragraph" w:customStyle="1" w:styleId="SuperTitle">
    <w:name w:val="SuperTitle"/>
    <w:basedOn w:val="Title"/>
    <w:rsid w:val="008C0EB7"/>
    <w:pPr>
      <w:framePr w:wrap="auto" w:hAnchor="text" w:y="6049"/>
    </w:pPr>
    <w:rPr>
      <w:color w:val="000000"/>
      <w:sz w:val="40"/>
    </w:rPr>
  </w:style>
  <w:style w:type="paragraph" w:customStyle="1" w:styleId="TOCTitle">
    <w:name w:val="TOCTitle"/>
    <w:basedOn w:val="Heading1"/>
    <w:rsid w:val="008C0EB7"/>
    <w:pPr>
      <w:spacing w:after="240"/>
      <w:jc w:val="center"/>
      <w:outlineLvl w:val="9"/>
    </w:pPr>
    <w:rPr>
      <w:caps/>
    </w:rPr>
  </w:style>
  <w:style w:type="paragraph" w:customStyle="1" w:styleId="Version">
    <w:name w:val="Version"/>
    <w:rsid w:val="008C0E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0EB7"/>
    <w:pPr>
      <w:keepNext w:val="0"/>
      <w:tabs>
        <w:tab w:val="right" w:pos="4176"/>
      </w:tabs>
      <w:ind w:left="198" w:hanging="198"/>
    </w:pPr>
    <w:rPr>
      <w:rFonts w:ascii="Garamond" w:hAnsi="Garamond"/>
    </w:rPr>
  </w:style>
  <w:style w:type="paragraph" w:styleId="IndexHeading">
    <w:name w:val="index heading"/>
    <w:basedOn w:val="Normal"/>
    <w:next w:val="Index1"/>
    <w:semiHidden/>
    <w:rsid w:val="008C0EB7"/>
    <w:pPr>
      <w:spacing w:before="120" w:after="120"/>
    </w:pPr>
    <w:rPr>
      <w:rFonts w:ascii="Arial" w:hAnsi="Arial"/>
      <w:b/>
      <w:color w:val="918585"/>
      <w:sz w:val="24"/>
    </w:rPr>
  </w:style>
  <w:style w:type="paragraph" w:styleId="Header">
    <w:name w:val="header"/>
    <w:basedOn w:val="Normal"/>
    <w:link w:val="HeaderChar"/>
    <w:rsid w:val="008C0E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0EB7"/>
    <w:rPr>
      <w:rFonts w:ascii="Times New Roman" w:eastAsia="Times New Roman" w:hAnsi="Times New Roman" w:cs="Times New Roman"/>
      <w:sz w:val="16"/>
      <w:szCs w:val="20"/>
      <w:lang w:val="en-GB" w:eastAsia="en-US"/>
    </w:rPr>
  </w:style>
  <w:style w:type="paragraph" w:customStyle="1" w:styleId="Chapter">
    <w:name w:val="Chapter"/>
    <w:basedOn w:val="Normal"/>
    <w:rsid w:val="008C0EB7"/>
    <w:pPr>
      <w:spacing w:before="240"/>
    </w:pPr>
    <w:rPr>
      <w:rFonts w:ascii="Times New Roman" w:hAnsi="Times New Roman"/>
      <w:smallCaps/>
      <w:spacing w:val="80"/>
      <w:sz w:val="28"/>
    </w:rPr>
  </w:style>
  <w:style w:type="paragraph" w:customStyle="1" w:styleId="InChapter">
    <w:name w:val="InChapter"/>
    <w:basedOn w:val="Heading3"/>
    <w:rsid w:val="008C0EB7"/>
    <w:pPr>
      <w:spacing w:after="240"/>
      <w:outlineLvl w:val="9"/>
    </w:pPr>
    <w:rPr>
      <w:noProof/>
    </w:rPr>
  </w:style>
  <w:style w:type="paragraph" w:styleId="Index2">
    <w:name w:val="index 2"/>
    <w:basedOn w:val="Normal"/>
    <w:next w:val="Normal"/>
    <w:semiHidden/>
    <w:rsid w:val="008C0EB7"/>
    <w:pPr>
      <w:tabs>
        <w:tab w:val="right" w:pos="4176"/>
      </w:tabs>
      <w:ind w:left="568" w:hanging="284"/>
    </w:pPr>
    <w:rPr>
      <w:rFonts w:ascii="Garamond" w:hAnsi="Garamond"/>
    </w:rPr>
  </w:style>
  <w:style w:type="paragraph" w:customStyle="1" w:styleId="Byline">
    <w:name w:val="Byline"/>
    <w:rsid w:val="008C0E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0EB7"/>
    <w:pPr>
      <w:tabs>
        <w:tab w:val="clear" w:pos="3600"/>
        <w:tab w:val="clear" w:pos="3958"/>
      </w:tabs>
      <w:jc w:val="right"/>
    </w:pPr>
  </w:style>
  <w:style w:type="paragraph" w:styleId="Caption">
    <w:name w:val="caption"/>
    <w:basedOn w:val="BodyText"/>
    <w:next w:val="Normal"/>
    <w:qFormat/>
    <w:rsid w:val="008C0EB7"/>
    <w:pPr>
      <w:framePr w:w="2268" w:hSpace="181" w:vSpace="181" w:wrap="around" w:vAnchor="text" w:hAnchor="page" w:x="1135" w:y="285" w:anchorLock="1"/>
    </w:pPr>
    <w:rPr>
      <w:i/>
    </w:rPr>
  </w:style>
  <w:style w:type="paragraph" w:customStyle="1" w:styleId="MiniTOCTitle">
    <w:name w:val="MiniTOCTitle"/>
    <w:basedOn w:val="Heading4"/>
    <w:rsid w:val="008C0EB7"/>
    <w:pPr>
      <w:spacing w:before="240"/>
      <w:outlineLvl w:val="9"/>
    </w:pPr>
    <w:rPr>
      <w:noProof/>
      <w:sz w:val="24"/>
    </w:rPr>
  </w:style>
  <w:style w:type="paragraph" w:customStyle="1" w:styleId="MiniTOCItem">
    <w:name w:val="MiniTOCItem"/>
    <w:basedOn w:val="ListBullet"/>
    <w:rsid w:val="008C0EB7"/>
    <w:pPr>
      <w:numPr>
        <w:numId w:val="0"/>
      </w:numPr>
      <w:tabs>
        <w:tab w:val="right" w:leader="dot" w:pos="6521"/>
      </w:tabs>
      <w:spacing w:before="0" w:after="0"/>
    </w:pPr>
  </w:style>
  <w:style w:type="paragraph" w:customStyle="1" w:styleId="TOFTitle">
    <w:name w:val="TOFTitle"/>
    <w:basedOn w:val="TOCTitle"/>
    <w:rsid w:val="008C0EB7"/>
  </w:style>
  <w:style w:type="paragraph" w:styleId="TableofFigures">
    <w:name w:val="table of figures"/>
    <w:basedOn w:val="Normal"/>
    <w:next w:val="Normal"/>
    <w:semiHidden/>
    <w:rsid w:val="008C0EB7"/>
    <w:pPr>
      <w:tabs>
        <w:tab w:val="right" w:leader="dot" w:pos="9072"/>
      </w:tabs>
      <w:ind w:left="970" w:hanging="403"/>
    </w:pPr>
    <w:rPr>
      <w:rFonts w:ascii="Times New Roman" w:hAnsi="Times New Roman"/>
      <w:b/>
    </w:rPr>
  </w:style>
  <w:style w:type="paragraph" w:styleId="ListNumber">
    <w:name w:val="List Number"/>
    <w:basedOn w:val="List"/>
    <w:rsid w:val="008C0EB7"/>
    <w:pPr>
      <w:numPr>
        <w:numId w:val="15"/>
      </w:numPr>
      <w:tabs>
        <w:tab w:val="clear" w:pos="340"/>
      </w:tabs>
    </w:pPr>
  </w:style>
  <w:style w:type="character" w:customStyle="1" w:styleId="WingdingSymbols">
    <w:name w:val="Wingding Symbols"/>
    <w:rsid w:val="008C0EB7"/>
    <w:rPr>
      <w:rFonts w:ascii="Wingdings" w:hAnsi="Wingdings"/>
    </w:rPr>
  </w:style>
  <w:style w:type="paragraph" w:customStyle="1" w:styleId="TableHeading">
    <w:name w:val="Table Heading"/>
    <w:basedOn w:val="HeadingBase"/>
    <w:rsid w:val="008C0EB7"/>
    <w:pPr>
      <w:keepLines/>
      <w:pBdr>
        <w:bottom w:val="single" w:sz="6" w:space="1" w:color="918585"/>
      </w:pBdr>
      <w:spacing w:before="240"/>
    </w:pPr>
  </w:style>
  <w:style w:type="character" w:customStyle="1" w:styleId="HotSpot">
    <w:name w:val="HotSpot"/>
    <w:rsid w:val="008C0EB7"/>
    <w:rPr>
      <w:color w:val="0033CC"/>
      <w:u w:val="none"/>
    </w:rPr>
  </w:style>
  <w:style w:type="paragraph" w:customStyle="1" w:styleId="BodyTextRight">
    <w:name w:val="Body Text Right"/>
    <w:basedOn w:val="BodyText"/>
    <w:rsid w:val="008C0EB7"/>
    <w:pPr>
      <w:spacing w:before="0" w:after="0"/>
      <w:jc w:val="right"/>
    </w:pPr>
  </w:style>
  <w:style w:type="paragraph" w:styleId="Index3">
    <w:name w:val="index 3"/>
    <w:basedOn w:val="ListNumber2"/>
    <w:next w:val="Normal"/>
    <w:semiHidden/>
    <w:rsid w:val="008C0EB7"/>
    <w:pPr>
      <w:numPr>
        <w:numId w:val="0"/>
      </w:numPr>
      <w:tabs>
        <w:tab w:val="right" w:leader="dot" w:pos="4176"/>
      </w:tabs>
    </w:pPr>
  </w:style>
  <w:style w:type="paragraph" w:styleId="ListNumber2">
    <w:name w:val="List Number 2"/>
    <w:basedOn w:val="List2"/>
    <w:rsid w:val="008C0EB7"/>
    <w:pPr>
      <w:numPr>
        <w:numId w:val="10"/>
      </w:numPr>
      <w:tabs>
        <w:tab w:val="clear" w:pos="1060"/>
      </w:tabs>
    </w:pPr>
  </w:style>
  <w:style w:type="paragraph" w:customStyle="1" w:styleId="MarginNote">
    <w:name w:val="Margin Note"/>
    <w:basedOn w:val="BodyText"/>
    <w:rsid w:val="008C0E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0E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0E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0EB7"/>
    <w:rPr>
      <w:sz w:val="32"/>
    </w:rPr>
  </w:style>
  <w:style w:type="paragraph" w:customStyle="1" w:styleId="HeadingProcedure">
    <w:name w:val="Heading Procedure"/>
    <w:basedOn w:val="HeadingBase"/>
    <w:next w:val="Normal"/>
    <w:rsid w:val="008C0EB7"/>
    <w:pPr>
      <w:tabs>
        <w:tab w:val="left" w:pos="0"/>
      </w:tabs>
      <w:spacing w:before="120" w:after="60"/>
    </w:pPr>
    <w:rPr>
      <w:i/>
      <w:color w:val="918585"/>
      <w:sz w:val="22"/>
    </w:rPr>
  </w:style>
  <w:style w:type="paragraph" w:customStyle="1" w:styleId="TableBodyText">
    <w:name w:val="Table Body Text"/>
    <w:basedOn w:val="BodyText"/>
    <w:rsid w:val="008C0EB7"/>
    <w:pPr>
      <w:spacing w:before="60" w:after="60"/>
    </w:pPr>
  </w:style>
  <w:style w:type="paragraph" w:styleId="ListContinue">
    <w:name w:val="List Continue"/>
    <w:basedOn w:val="List"/>
    <w:rsid w:val="008C0EB7"/>
    <w:pPr>
      <w:ind w:firstLine="0"/>
    </w:pPr>
  </w:style>
  <w:style w:type="paragraph" w:customStyle="1" w:styleId="ListNote">
    <w:name w:val="List Note"/>
    <w:basedOn w:val="List"/>
    <w:rsid w:val="008C0EB7"/>
    <w:pPr>
      <w:pBdr>
        <w:top w:val="single" w:sz="6" w:space="2" w:color="918585"/>
        <w:bottom w:val="single" w:sz="6" w:space="2" w:color="918585"/>
      </w:pBdr>
      <w:tabs>
        <w:tab w:val="left" w:pos="1021"/>
      </w:tabs>
      <w:ind w:firstLine="0"/>
    </w:pPr>
  </w:style>
  <w:style w:type="paragraph" w:customStyle="1" w:styleId="Warning">
    <w:name w:val="Warning"/>
    <w:basedOn w:val="BodyText"/>
    <w:rsid w:val="008C0EB7"/>
    <w:pPr>
      <w:shd w:val="clear" w:color="auto" w:fill="D9D9D9"/>
      <w:tabs>
        <w:tab w:val="left" w:pos="992"/>
      </w:tabs>
      <w:ind w:left="119" w:right="119"/>
    </w:pPr>
    <w:rPr>
      <w:sz w:val="20"/>
    </w:rPr>
  </w:style>
  <w:style w:type="paragraph" w:customStyle="1" w:styleId="MarginIcons">
    <w:name w:val="Margin Icons"/>
    <w:basedOn w:val="BodyText"/>
    <w:rsid w:val="008C0E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0EB7"/>
    <w:rPr>
      <w:rFonts w:ascii="Courier New" w:hAnsi="Courier New"/>
    </w:rPr>
  </w:style>
  <w:style w:type="paragraph" w:customStyle="1" w:styleId="NoteBullet">
    <w:name w:val="Note Bullet"/>
    <w:basedOn w:val="Note"/>
    <w:rsid w:val="008C0EB7"/>
    <w:pPr>
      <w:tabs>
        <w:tab w:val="clear" w:pos="680"/>
      </w:tabs>
      <w:spacing w:before="60" w:after="60"/>
    </w:pPr>
  </w:style>
  <w:style w:type="paragraph" w:customStyle="1" w:styleId="SubHeading2">
    <w:name w:val="SubHeading2"/>
    <w:basedOn w:val="HeadingBase"/>
    <w:rsid w:val="008C0EB7"/>
    <w:pPr>
      <w:spacing w:before="240" w:after="60"/>
    </w:pPr>
    <w:rPr>
      <w:sz w:val="20"/>
    </w:rPr>
  </w:style>
  <w:style w:type="paragraph" w:customStyle="1" w:styleId="SubHeading1">
    <w:name w:val="SubHeading1"/>
    <w:basedOn w:val="HeadingBase"/>
    <w:rsid w:val="008C0EB7"/>
    <w:pPr>
      <w:spacing w:before="240" w:after="60"/>
    </w:pPr>
    <w:rPr>
      <w:color w:val="918585"/>
      <w:sz w:val="22"/>
    </w:rPr>
  </w:style>
  <w:style w:type="paragraph" w:customStyle="1" w:styleId="SideHeading">
    <w:name w:val="Side Heading"/>
    <w:basedOn w:val="HeadingBase"/>
    <w:rsid w:val="008C0E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0EB7"/>
    <w:pPr>
      <w:tabs>
        <w:tab w:val="num" w:pos="360"/>
      </w:tabs>
    </w:pPr>
  </w:style>
  <w:style w:type="paragraph" w:styleId="PlainText">
    <w:name w:val="Plain Text"/>
    <w:basedOn w:val="Normal"/>
    <w:link w:val="PlainTextChar"/>
    <w:rsid w:val="008C0EB7"/>
    <w:rPr>
      <w:sz w:val="20"/>
    </w:rPr>
  </w:style>
  <w:style w:type="character" w:customStyle="1" w:styleId="PlainTextChar">
    <w:name w:val="Plain Text Char"/>
    <w:basedOn w:val="DefaultParagraphFont"/>
    <w:link w:val="PlainText"/>
    <w:rsid w:val="008C0EB7"/>
    <w:rPr>
      <w:rFonts w:ascii="Courier New" w:eastAsia="Times New Roman" w:hAnsi="Courier New" w:cs="Times New Roman"/>
      <w:sz w:val="20"/>
      <w:szCs w:val="20"/>
      <w:lang w:eastAsia="en-US"/>
    </w:rPr>
  </w:style>
  <w:style w:type="character" w:customStyle="1" w:styleId="MenuOption">
    <w:name w:val="Menu Option"/>
    <w:basedOn w:val="DefaultParagraphFont"/>
    <w:rsid w:val="008C0EB7"/>
    <w:rPr>
      <w:b/>
      <w:smallCaps/>
    </w:rPr>
  </w:style>
  <w:style w:type="paragraph" w:customStyle="1" w:styleId="TableListNumber">
    <w:name w:val="Table List Number"/>
    <w:basedOn w:val="ListNumber"/>
    <w:rsid w:val="008C0EB7"/>
    <w:pPr>
      <w:numPr>
        <w:numId w:val="0"/>
      </w:numPr>
    </w:pPr>
  </w:style>
  <w:style w:type="paragraph" w:styleId="TOC4">
    <w:name w:val="toc 4"/>
    <w:basedOn w:val="TOCBase"/>
    <w:next w:val="Normal"/>
    <w:semiHidden/>
    <w:rsid w:val="008C0EB7"/>
    <w:pPr>
      <w:tabs>
        <w:tab w:val="right" w:leader="dot" w:pos="9071"/>
      </w:tabs>
      <w:ind w:left="1701"/>
    </w:pPr>
  </w:style>
  <w:style w:type="paragraph" w:customStyle="1" w:styleId="ListAlpha">
    <w:name w:val="List Alpha"/>
    <w:basedOn w:val="List"/>
    <w:rsid w:val="008C0EB7"/>
    <w:pPr>
      <w:numPr>
        <w:numId w:val="9"/>
      </w:numPr>
    </w:pPr>
  </w:style>
  <w:style w:type="paragraph" w:customStyle="1" w:styleId="ListAlpha2">
    <w:name w:val="List Alpha 2"/>
    <w:basedOn w:val="List2"/>
    <w:rsid w:val="008C0EB7"/>
    <w:pPr>
      <w:numPr>
        <w:numId w:val="8"/>
      </w:numPr>
    </w:pPr>
  </w:style>
  <w:style w:type="paragraph" w:styleId="List2">
    <w:name w:val="List 2"/>
    <w:basedOn w:val="BodyText"/>
    <w:rsid w:val="008C0EB7"/>
    <w:pPr>
      <w:tabs>
        <w:tab w:val="left" w:pos="680"/>
      </w:tabs>
      <w:spacing w:before="60" w:after="60"/>
      <w:ind w:left="680" w:hanging="340"/>
    </w:pPr>
  </w:style>
  <w:style w:type="paragraph" w:styleId="List3">
    <w:name w:val="List 3"/>
    <w:basedOn w:val="BodyText"/>
    <w:rsid w:val="008C0EB7"/>
    <w:pPr>
      <w:tabs>
        <w:tab w:val="left" w:pos="1021"/>
      </w:tabs>
      <w:spacing w:before="60" w:after="60"/>
      <w:ind w:left="1020" w:hanging="340"/>
    </w:pPr>
  </w:style>
  <w:style w:type="paragraph" w:styleId="List4">
    <w:name w:val="List 4"/>
    <w:basedOn w:val="BodyText"/>
    <w:rsid w:val="008C0EB7"/>
    <w:pPr>
      <w:tabs>
        <w:tab w:val="left" w:pos="1361"/>
      </w:tabs>
      <w:spacing w:before="60" w:after="60"/>
      <w:ind w:left="1361" w:hanging="340"/>
    </w:pPr>
  </w:style>
  <w:style w:type="paragraph" w:styleId="List5">
    <w:name w:val="List 5"/>
    <w:basedOn w:val="BodyText"/>
    <w:rsid w:val="008C0EB7"/>
    <w:pPr>
      <w:tabs>
        <w:tab w:val="left" w:pos="1701"/>
      </w:tabs>
      <w:spacing w:before="60" w:after="60"/>
      <w:ind w:left="1701" w:hanging="340"/>
    </w:pPr>
  </w:style>
  <w:style w:type="paragraph" w:styleId="ListBullet3">
    <w:name w:val="List Bullet 3"/>
    <w:basedOn w:val="List3"/>
    <w:rsid w:val="008C0EB7"/>
    <w:pPr>
      <w:numPr>
        <w:numId w:val="14"/>
      </w:numPr>
      <w:tabs>
        <w:tab w:val="clear" w:pos="1021"/>
      </w:tabs>
      <w:ind w:left="1037" w:hanging="357"/>
    </w:pPr>
  </w:style>
  <w:style w:type="paragraph" w:styleId="ListBullet4">
    <w:name w:val="List Bullet 4"/>
    <w:basedOn w:val="List4"/>
    <w:rsid w:val="008C0EB7"/>
    <w:pPr>
      <w:numPr>
        <w:numId w:val="3"/>
      </w:numPr>
      <w:tabs>
        <w:tab w:val="clear" w:pos="1361"/>
      </w:tabs>
    </w:pPr>
  </w:style>
  <w:style w:type="paragraph" w:styleId="ListBullet5">
    <w:name w:val="List Bullet 5"/>
    <w:basedOn w:val="List5"/>
    <w:rsid w:val="008C0EB7"/>
    <w:pPr>
      <w:numPr>
        <w:numId w:val="4"/>
      </w:numPr>
    </w:pPr>
  </w:style>
  <w:style w:type="paragraph" w:styleId="ListContinue2">
    <w:name w:val="List Continue 2"/>
    <w:basedOn w:val="List2"/>
    <w:rsid w:val="008C0EB7"/>
    <w:pPr>
      <w:ind w:firstLine="0"/>
    </w:pPr>
  </w:style>
  <w:style w:type="paragraph" w:styleId="ListContinue3">
    <w:name w:val="List Continue 3"/>
    <w:basedOn w:val="List3"/>
    <w:rsid w:val="008C0EB7"/>
    <w:pPr>
      <w:ind w:left="1021" w:firstLine="0"/>
    </w:pPr>
  </w:style>
  <w:style w:type="paragraph" w:styleId="ListContinue4">
    <w:name w:val="List Continue 4"/>
    <w:basedOn w:val="List4"/>
    <w:rsid w:val="008C0EB7"/>
    <w:pPr>
      <w:ind w:firstLine="0"/>
    </w:pPr>
  </w:style>
  <w:style w:type="paragraph" w:styleId="ListContinue5">
    <w:name w:val="List Continue 5"/>
    <w:basedOn w:val="List5"/>
    <w:rsid w:val="008C0EB7"/>
    <w:pPr>
      <w:ind w:firstLine="0"/>
    </w:pPr>
  </w:style>
  <w:style w:type="paragraph" w:styleId="ListNumber3">
    <w:name w:val="List Number 3"/>
    <w:basedOn w:val="List3"/>
    <w:rsid w:val="008C0EB7"/>
    <w:pPr>
      <w:numPr>
        <w:numId w:val="5"/>
      </w:numPr>
    </w:pPr>
  </w:style>
  <w:style w:type="paragraph" w:styleId="ListNumber4">
    <w:name w:val="List Number 4"/>
    <w:basedOn w:val="List4"/>
    <w:rsid w:val="008C0EB7"/>
    <w:pPr>
      <w:numPr>
        <w:numId w:val="6"/>
      </w:numPr>
    </w:pPr>
  </w:style>
  <w:style w:type="paragraph" w:styleId="ListNumber5">
    <w:name w:val="List Number 5"/>
    <w:basedOn w:val="List5"/>
    <w:rsid w:val="008C0EB7"/>
    <w:pPr>
      <w:numPr>
        <w:numId w:val="7"/>
      </w:numPr>
    </w:pPr>
  </w:style>
  <w:style w:type="paragraph" w:styleId="BlockText">
    <w:name w:val="Block Text"/>
    <w:basedOn w:val="Normal"/>
    <w:rsid w:val="008C0EB7"/>
    <w:pPr>
      <w:spacing w:after="120"/>
      <w:ind w:left="1440" w:right="1440"/>
    </w:pPr>
  </w:style>
  <w:style w:type="character" w:customStyle="1" w:styleId="Subscript">
    <w:name w:val="Subscript"/>
    <w:basedOn w:val="DefaultParagraphFont"/>
    <w:rsid w:val="008C0EB7"/>
    <w:rPr>
      <w:sz w:val="16"/>
      <w:vertAlign w:val="subscript"/>
    </w:rPr>
  </w:style>
  <w:style w:type="character" w:customStyle="1" w:styleId="Superscript">
    <w:name w:val="Superscript"/>
    <w:basedOn w:val="DefaultParagraphFont"/>
    <w:rsid w:val="008C0EB7"/>
    <w:rPr>
      <w:sz w:val="16"/>
      <w:vertAlign w:val="superscript"/>
    </w:rPr>
  </w:style>
  <w:style w:type="character" w:customStyle="1" w:styleId="Symbols">
    <w:name w:val="Symbols"/>
    <w:basedOn w:val="DefaultParagraphFont"/>
    <w:rsid w:val="008C0EB7"/>
    <w:rPr>
      <w:rFonts w:ascii="Symbol" w:hAnsi="Symbol"/>
    </w:rPr>
  </w:style>
  <w:style w:type="character" w:customStyle="1" w:styleId="MenuOptions">
    <w:name w:val="Menu Options"/>
    <w:basedOn w:val="DefaultParagraphFont"/>
    <w:rsid w:val="008C0EB7"/>
    <w:rPr>
      <w:rFonts w:ascii="Arial Narrow" w:hAnsi="Arial Narrow"/>
      <w:smallCaps/>
    </w:rPr>
  </w:style>
  <w:style w:type="character" w:customStyle="1" w:styleId="Buttons">
    <w:name w:val="Buttons"/>
    <w:basedOn w:val="DefaultParagraphFont"/>
    <w:rsid w:val="008C0EB7"/>
    <w:rPr>
      <w:b/>
    </w:rPr>
  </w:style>
  <w:style w:type="character" w:customStyle="1" w:styleId="Underlined">
    <w:name w:val="Underlined"/>
    <w:basedOn w:val="DefaultParagraphFont"/>
    <w:rsid w:val="008C0EB7"/>
    <w:rPr>
      <w:u w:val="single"/>
    </w:rPr>
  </w:style>
  <w:style w:type="paragraph" w:customStyle="1" w:styleId="TableBodyTextRight">
    <w:name w:val="Table Body Text Right"/>
    <w:basedOn w:val="TableBodyText"/>
    <w:rsid w:val="008C0EB7"/>
    <w:pPr>
      <w:widowControl w:val="0"/>
      <w:autoSpaceDE w:val="0"/>
      <w:autoSpaceDN w:val="0"/>
      <w:adjustRightInd w:val="0"/>
      <w:jc w:val="right"/>
    </w:pPr>
    <w:rPr>
      <w:rFonts w:cs="Arial"/>
      <w:szCs w:val="18"/>
    </w:rPr>
  </w:style>
  <w:style w:type="paragraph" w:customStyle="1" w:styleId="CopyrightText">
    <w:name w:val="Copyright Text"/>
    <w:basedOn w:val="BodyText"/>
    <w:rsid w:val="008C0EB7"/>
    <w:rPr>
      <w:sz w:val="18"/>
    </w:rPr>
  </w:style>
  <w:style w:type="paragraph" w:customStyle="1" w:styleId="BodySmallRight">
    <w:name w:val="Body Small Right"/>
    <w:basedOn w:val="BodyTextRight"/>
    <w:rsid w:val="008C0EB7"/>
    <w:rPr>
      <w:sz w:val="18"/>
      <w:szCs w:val="18"/>
    </w:rPr>
  </w:style>
  <w:style w:type="paragraph" w:customStyle="1" w:styleId="MarginEdition">
    <w:name w:val="Margin Edition"/>
    <w:basedOn w:val="MarginNote"/>
    <w:rsid w:val="008C0EB7"/>
    <w:pPr>
      <w:spacing w:before="0" w:after="0"/>
    </w:pPr>
    <w:rPr>
      <w:rFonts w:ascii="Times New Roman" w:hAnsi="Times New Roman"/>
      <w:color w:val="999999"/>
    </w:rPr>
  </w:style>
  <w:style w:type="paragraph" w:customStyle="1" w:styleId="Spacer">
    <w:name w:val="Spacer"/>
    <w:basedOn w:val="Normal"/>
    <w:rsid w:val="008C0EB7"/>
    <w:rPr>
      <w:sz w:val="2"/>
      <w:szCs w:val="2"/>
    </w:rPr>
  </w:style>
  <w:style w:type="character" w:customStyle="1" w:styleId="Small">
    <w:name w:val="Small"/>
    <w:basedOn w:val="DefaultParagraphFont"/>
    <w:rsid w:val="008C0EB7"/>
    <w:rPr>
      <w:sz w:val="16"/>
    </w:rPr>
  </w:style>
  <w:style w:type="paragraph" w:customStyle="1" w:styleId="WideTable">
    <w:name w:val="Wide Table"/>
    <w:basedOn w:val="Normal"/>
    <w:rsid w:val="008C0EB7"/>
    <w:pPr>
      <w:ind w:left="-1418"/>
    </w:pPr>
    <w:rPr>
      <w:sz w:val="2"/>
      <w:szCs w:val="2"/>
    </w:rPr>
  </w:style>
  <w:style w:type="character" w:styleId="PageNumber">
    <w:name w:val="page number"/>
    <w:basedOn w:val="DefaultParagraphFont"/>
    <w:rsid w:val="008C0EB7"/>
  </w:style>
  <w:style w:type="paragraph" w:styleId="Quote">
    <w:name w:val="Quote"/>
    <w:basedOn w:val="Heading1"/>
    <w:link w:val="QuoteChar"/>
    <w:qFormat/>
    <w:rsid w:val="008C0EB7"/>
    <w:rPr>
      <w:b w:val="0"/>
      <w:sz w:val="72"/>
      <w:szCs w:val="72"/>
      <w:lang w:val="en-NZ"/>
    </w:rPr>
  </w:style>
  <w:style w:type="character" w:customStyle="1" w:styleId="QuoteChar">
    <w:name w:val="Quote Char"/>
    <w:basedOn w:val="DefaultParagraphFont"/>
    <w:link w:val="Quote"/>
    <w:rsid w:val="008C0E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0EB7"/>
    <w:pPr>
      <w:pageBreakBefore/>
    </w:pPr>
  </w:style>
  <w:style w:type="paragraph" w:customStyle="1" w:styleId="Border">
    <w:name w:val="Border"/>
    <w:basedOn w:val="Normal"/>
    <w:qFormat/>
    <w:rsid w:val="008C0E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0EB7"/>
    <w:rPr>
      <w:b/>
      <w:bCs/>
      <w:i/>
      <w:iCs/>
      <w:color w:val="auto"/>
    </w:rPr>
  </w:style>
  <w:style w:type="paragraph" w:styleId="IntenseQuote">
    <w:name w:val="Intense Quote"/>
    <w:basedOn w:val="Normal"/>
    <w:next w:val="Normal"/>
    <w:link w:val="IntenseQuoteChar"/>
    <w:uiPriority w:val="30"/>
    <w:qFormat/>
    <w:rsid w:val="008C0E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0E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0EB7"/>
    <w:rPr>
      <w:smallCaps/>
      <w:color w:val="auto"/>
      <w:u w:val="single"/>
    </w:rPr>
  </w:style>
  <w:style w:type="character" w:styleId="IntenseReference">
    <w:name w:val="Intense Reference"/>
    <w:basedOn w:val="DefaultParagraphFont"/>
    <w:uiPriority w:val="32"/>
    <w:qFormat/>
    <w:rsid w:val="008C0EB7"/>
    <w:rPr>
      <w:b/>
      <w:bCs/>
      <w:smallCaps/>
      <w:color w:val="auto"/>
      <w:spacing w:val="5"/>
      <w:u w:val="single"/>
    </w:rPr>
  </w:style>
  <w:style w:type="paragraph" w:customStyle="1" w:styleId="2ColumnHeading">
    <w:name w:val="2Column Heading"/>
    <w:basedOn w:val="BodyText"/>
    <w:qFormat/>
    <w:rsid w:val="008C0EB7"/>
    <w:pPr>
      <w:spacing w:after="60"/>
      <w:ind w:left="-2268"/>
    </w:pPr>
    <w:rPr>
      <w:b/>
    </w:rPr>
  </w:style>
  <w:style w:type="paragraph" w:customStyle="1" w:styleId="Heading1TOC">
    <w:name w:val="Heading1 TOC"/>
    <w:basedOn w:val="Normal"/>
    <w:qFormat/>
    <w:rsid w:val="008C0EB7"/>
    <w:pPr>
      <w:spacing w:before="240" w:after="120"/>
    </w:pPr>
    <w:rPr>
      <w:rFonts w:ascii="Times New Roman" w:hAnsi="Times New Roman"/>
      <w:b/>
      <w:sz w:val="32"/>
    </w:rPr>
  </w:style>
  <w:style w:type="paragraph" w:customStyle="1" w:styleId="Heading2TOC">
    <w:name w:val="Heading2 TOC"/>
    <w:basedOn w:val="Normal"/>
    <w:qFormat/>
    <w:rsid w:val="008C0EB7"/>
    <w:pPr>
      <w:spacing w:before="240" w:after="60"/>
    </w:pPr>
    <w:rPr>
      <w:rFonts w:ascii="Times New Roman" w:hAnsi="Times New Roman"/>
      <w:b/>
      <w:sz w:val="28"/>
    </w:rPr>
  </w:style>
  <w:style w:type="character" w:customStyle="1" w:styleId="Underline">
    <w:name w:val="Underline"/>
    <w:basedOn w:val="DefaultParagraphFont"/>
    <w:qFormat/>
    <w:rsid w:val="008C0EB7"/>
    <w:rPr>
      <w:u w:val="single"/>
    </w:rPr>
  </w:style>
  <w:style w:type="character" w:customStyle="1" w:styleId="BoldandItalics">
    <w:name w:val="Bold and Italics"/>
    <w:qFormat/>
    <w:rsid w:val="008C0EB7"/>
    <w:rPr>
      <w:b/>
      <w:i/>
      <w:u w:val="none"/>
    </w:rPr>
  </w:style>
  <w:style w:type="paragraph" w:styleId="BalloonText">
    <w:name w:val="Balloon Text"/>
    <w:basedOn w:val="Normal"/>
    <w:link w:val="BalloonTextChar"/>
    <w:rsid w:val="008C0EB7"/>
    <w:rPr>
      <w:rFonts w:ascii="Tahoma" w:hAnsi="Tahoma" w:cs="Tahoma"/>
      <w:sz w:val="16"/>
      <w:szCs w:val="16"/>
    </w:rPr>
  </w:style>
  <w:style w:type="character" w:customStyle="1" w:styleId="BalloonTextChar">
    <w:name w:val="Balloon Text Char"/>
    <w:basedOn w:val="DefaultParagraphFont"/>
    <w:link w:val="BalloonText"/>
    <w:rsid w:val="008C0E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0E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0E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0EB7"/>
    <w:rPr>
      <w:b/>
      <w:color w:val="660033"/>
      <w:spacing w:val="0"/>
    </w:rPr>
  </w:style>
  <w:style w:type="paragraph" w:customStyle="1" w:styleId="Nameditemlist">
    <w:name w:val="Named item list"/>
    <w:basedOn w:val="BodyText"/>
    <w:qFormat/>
    <w:rsid w:val="008C0EB7"/>
    <w:pPr>
      <w:tabs>
        <w:tab w:val="left" w:pos="2835"/>
      </w:tabs>
      <w:ind w:left="2835" w:hanging="2835"/>
    </w:pPr>
  </w:style>
  <w:style w:type="paragraph" w:customStyle="1" w:styleId="BodyTextnopadding">
    <w:name w:val="Body Text no padding"/>
    <w:basedOn w:val="BodyText"/>
    <w:qFormat/>
    <w:rsid w:val="008C0EB7"/>
    <w:pPr>
      <w:spacing w:before="0" w:after="0"/>
    </w:pPr>
  </w:style>
  <w:style w:type="paragraph" w:customStyle="1" w:styleId="BodyTextBold">
    <w:name w:val="Body Text Bold"/>
    <w:basedOn w:val="BodyText"/>
    <w:qFormat/>
    <w:rsid w:val="008C0EB7"/>
    <w:rPr>
      <w:b/>
    </w:rPr>
  </w:style>
  <w:style w:type="character" w:styleId="Hyperlink">
    <w:name w:val="Hyperlink"/>
    <w:basedOn w:val="DefaultParagraphFont"/>
    <w:uiPriority w:val="99"/>
    <w:unhideWhenUsed/>
    <w:rsid w:val="00FB14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1345</Words>
  <Characters>8474</Characters>
  <Application>Microsoft Office Word</Application>
  <DocSecurity>0</DocSecurity>
  <Lines>302</Lines>
  <Paragraphs>169</Paragraphs>
  <ScaleCrop>false</ScaleCrop>
  <Company>Author-it Software Corporation Ltd.</Company>
  <LinksUpToDate>false</LinksUpToDate>
  <CharactersWithSpaces>9650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CPCCDE3014 Remove non-friable asbestos</dc:title>
  <dc:subject>Approved</dc:subject>
  <dc:creator>BuildSkills Australia</dc:creator>
  <cp:keywords>Release: 2</cp:keywords>
  <dc:description>Review Date: 12 April 2008</dc:description>
  <cp:lastModifiedBy>HSD_TPCMSd.prod</cp:lastModifiedBy>
  <cp:revision>3</cp:revision>
  <dcterms:created xsi:type="dcterms:W3CDTF">2025-03-01T09:53:00Z</dcterms:created>
  <dcterms:modified xsi:type="dcterms:W3CDTF">2025-03-01T09:53:00Z</dcterms:modified>
</cp:coreProperties>
</file>