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F5A" w:rsidP="008C6F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CPCCCO3053 Slump test concrete</w:t>
      </w:r>
      <w:r>
        <w:fldChar w:fldCharType="end"/>
      </w:r>
    </w:p>
    <w:p w:rsidR="008C6F5A" w:rsidP="008C6F5A">
      <w:pPr>
        <w:pStyle w:val="Version"/>
        <w:sectPr w:rsidSect="00A40B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0B68" w:rsidP="00A40B68">
      <w:pPr>
        <w:pStyle w:val="SuperHeading"/>
      </w:pPr>
      <w:r w:rsidRPr="00A40B68">
        <w:t>CPCCCO3053 Slump test concrete</w:t>
      </w:r>
    </w:p>
    <w:p w:rsidR="00000000" w:rsidRPr="00A40B68" w:rsidP="00A40B68">
      <w:pPr>
        <w:pStyle w:val="Heading1"/>
      </w:pPr>
      <w:bookmarkStart w:id="1" w:name="O_1014025"/>
      <w:bookmarkEnd w:id="1"/>
      <w:r w:rsidRPr="00A40B68">
        <w:t>Modification History</w:t>
      </w:r>
    </w:p>
    <w:p w:rsidR="00000000" w:rsidRPr="00A40B68" w:rsidP="008C6F5A">
      <w:r w:rsidRPr="00A40B68">
        <w:t>Release 1.</w:t>
      </w:r>
    </w:p>
    <w:p w:rsidR="00000000" w:rsidRPr="00A40B68" w:rsidP="008C6F5A">
      <w:r w:rsidRPr="00A40B68">
        <w:t>Supersedes and equivalent to CPCCCO3053A Slump-test concrete.</w:t>
      </w:r>
    </w:p>
    <w:p w:rsidR="00000000" w:rsidRPr="00A40B68" w:rsidP="008C6F5A">
      <w:r w:rsidRPr="00A40B68">
        <w:t>The unit of competency was updated to the Standards for Training Packages 2012.</w:t>
      </w:r>
    </w:p>
    <w:p w:rsidR="00000000" w:rsidRPr="00A40B68" w:rsidP="008C6F5A">
      <w:pPr>
        <w:pStyle w:val="BodyText"/>
      </w:pPr>
      <w:r w:rsidRPr="00A40B68">
        <w:t xml:space="preserve">This version first released with CPC Construction, Plumbing and Services Training </w:t>
      </w:r>
      <w:r w:rsidRPr="00A40B68">
        <w:t>Package Version 4.0.</w:t>
      </w:r>
    </w:p>
    <w:p w:rsidR="00000000" w:rsidRPr="00A40B68" w:rsidP="00A40B68">
      <w:pPr>
        <w:pStyle w:val="Heading1"/>
      </w:pPr>
      <w:bookmarkStart w:id="2" w:name="O_1014031"/>
      <w:bookmarkEnd w:id="2"/>
      <w:r w:rsidRPr="00A40B68">
        <w:t>Application</w:t>
      </w:r>
    </w:p>
    <w:p w:rsidR="00000000" w:rsidRPr="00A40B68" w:rsidP="008C6F5A">
      <w:pPr>
        <w:pStyle w:val="BodyText"/>
      </w:pPr>
      <w:r w:rsidRPr="00A40B68">
        <w:t>This unit of competency specifies the skills and knowledge required to slump</w:t>
      </w:r>
      <w:r w:rsidRPr="00A40B68">
        <w:noBreakHyphen/>
        <w:t>test concrete to ensure that the mix is workable and complies with the delivery docket and specified order.</w:t>
      </w:r>
    </w:p>
    <w:p w:rsidR="00000000" w:rsidRPr="00A40B68" w:rsidP="008C6F5A">
      <w:pPr>
        <w:pStyle w:val="BodyText"/>
      </w:pPr>
      <w:r w:rsidRPr="00A40B68">
        <w:t>It includes samplin</w:t>
      </w:r>
      <w:r w:rsidRPr="00A40B68">
        <w:t>g and slump</w:t>
      </w:r>
      <w:r w:rsidRPr="00A40B68">
        <w:noBreakHyphen/>
        <w:t xml:space="preserve">testing concrete supplied for use on residential, commercial and civil construction sites. </w:t>
      </w:r>
    </w:p>
    <w:p w:rsidR="00000000" w:rsidRPr="00A40B68" w:rsidP="008C6F5A">
      <w:pPr>
        <w:pStyle w:val="BodyText"/>
      </w:pPr>
      <w:r w:rsidRPr="00A40B68">
        <w:t>It applies to concreters working as members of a team with at least a moderate degree of autonomy. They would be expected to complete routine activities</w:t>
      </w:r>
      <w:r w:rsidRPr="00A40B68">
        <w:t xml:space="preserve"> without close supervision.</w:t>
      </w:r>
    </w:p>
    <w:p w:rsidR="00000000" w:rsidRPr="00A40B68" w:rsidP="008C6F5A">
      <w:pPr>
        <w:pStyle w:val="BodyText"/>
      </w:pPr>
      <w:r w:rsidRPr="00A40B68">
        <w:t xml:space="preserve">Licensing, legislative, regulatory or certification requirements apply to this unit of competency in all states and territories except Tasmania. Relevant state and territory regulatory authorities should be consulted to confirm </w:t>
      </w:r>
      <w:r w:rsidRPr="00A40B68">
        <w:t>these requirements.</w:t>
      </w:r>
    </w:p>
    <w:p w:rsidR="00000000" w:rsidRPr="00A40B68" w:rsidP="00A40B68">
      <w:pPr>
        <w:pStyle w:val="Heading1"/>
      </w:pPr>
      <w:bookmarkStart w:id="3" w:name="O_1014030"/>
      <w:bookmarkEnd w:id="3"/>
      <w:r w:rsidRPr="00A40B68">
        <w:t>Pre-requisite Unit</w:t>
      </w:r>
    </w:p>
    <w:p w:rsidR="00000000" w:rsidRPr="00A40B68" w:rsidP="008C6F5A">
      <w:pPr>
        <w:pStyle w:val="BodyText"/>
      </w:pPr>
      <w:r w:rsidRPr="00A40B68">
        <w:t>CPCCWHS2001 Apply WHS requirements, policies and procedures in the construction industry</w:t>
      </w:r>
    </w:p>
    <w:p w:rsidR="00000000" w:rsidRPr="00A40B68" w:rsidP="00A40B68">
      <w:pPr>
        <w:pStyle w:val="Heading1"/>
      </w:pPr>
      <w:bookmarkStart w:id="4" w:name="O_1014029"/>
      <w:bookmarkEnd w:id="4"/>
      <w:r w:rsidRPr="00A40B68">
        <w:t>Unit Sector</w:t>
      </w:r>
    </w:p>
    <w:p w:rsidR="00000000" w:rsidRPr="00A40B68" w:rsidP="008C6F5A">
      <w:pPr>
        <w:pStyle w:val="BodyText"/>
      </w:pPr>
      <w:r w:rsidRPr="00A40B68">
        <w:t>Construction</w:t>
      </w:r>
    </w:p>
    <w:p w:rsidR="00000000" w:rsidRPr="00A40B68" w:rsidP="00A40B68">
      <w:pPr>
        <w:pStyle w:val="Heading1"/>
      </w:pPr>
      <w:bookmarkStart w:id="5" w:name="O_1014028"/>
      <w:bookmarkEnd w:id="5"/>
      <w:r w:rsidRPr="00A40B68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09"/>
        <w:gridCol w:w="6836"/>
      </w:tblGrid>
      <w:tr w:rsidTr="00A40B6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68">
            <w:pPr>
              <w:pStyle w:val="BodyText"/>
              <w:rPr>
                <w:lang w:val="en-NZ"/>
              </w:rPr>
            </w:pPr>
            <w:r w:rsidRPr="00A40B68">
              <w:t>Elements de</w:t>
            </w:r>
            <w:r w:rsidRPr="00A40B68">
              <w:t>scribe the essential outcomes.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68">
            <w:pPr>
              <w:pStyle w:val="BodyText"/>
              <w:rPr>
                <w:lang w:val="en-NZ"/>
              </w:rPr>
            </w:pPr>
            <w:r w:rsidRPr="00A40B68">
              <w:t>Performance criteria describe what needs to be done to demonstrate achievement of the element.</w:t>
            </w:r>
          </w:p>
        </w:tc>
      </w:tr>
      <w:tr w:rsidTr="00A40B6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68">
            <w:pPr>
              <w:pStyle w:val="BodyText"/>
              <w:rPr>
                <w:lang w:val="en-NZ"/>
              </w:rPr>
            </w:pPr>
            <w:r w:rsidRPr="00A40B68">
              <w:t>1.</w:t>
            </w:r>
            <w:r w:rsidRPr="00A40B68">
              <w:tab/>
              <w:t>Plan and prepare to slump</w:t>
            </w:r>
            <w:r w:rsidRPr="00A40B68">
              <w:noBreakHyphen/>
              <w:t>test concrete.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68" w:rsidP="00A40B68">
            <w:pPr>
              <w:pStyle w:val="BodyText"/>
            </w:pPr>
            <w:r w:rsidRPr="00A40B68">
              <w:t>1.1</w:t>
            </w:r>
            <w:r w:rsidRPr="00A40B68">
              <w:tab/>
              <w:t>Review and clarify task to slump</w:t>
            </w:r>
            <w:r w:rsidRPr="00A40B68">
              <w:noBreakHyphen/>
              <w:t>test concrete.</w:t>
            </w:r>
          </w:p>
          <w:p w:rsidR="00000000" w:rsidRPr="00A40B68" w:rsidP="00A40B68">
            <w:pPr>
              <w:pStyle w:val="BodyText"/>
            </w:pPr>
            <w:r w:rsidRPr="00A40B68">
              <w:t>1.2</w:t>
            </w:r>
            <w:r w:rsidRPr="00A40B68">
              <w:tab/>
            </w:r>
            <w:r w:rsidRPr="00A40B68">
              <w:t>Review task specifications and check to make sure they are in accordance with legislation, regulations and codes of practice.</w:t>
            </w:r>
          </w:p>
          <w:p w:rsidR="00000000" w:rsidRPr="00A40B68" w:rsidP="00A40B68">
            <w:pPr>
              <w:pStyle w:val="BodyText"/>
            </w:pPr>
            <w:r w:rsidRPr="00A40B68">
              <w:t>1.3</w:t>
            </w:r>
            <w:r w:rsidRPr="00A40B68">
              <w:tab/>
              <w:t>Review work health and safety (WHS) requirements for the task in accordance with safety plans and policies.</w:t>
            </w:r>
          </w:p>
          <w:p w:rsidR="00000000" w:rsidRPr="00A40B68" w:rsidP="00A40B68">
            <w:pPr>
              <w:pStyle w:val="BodyText"/>
            </w:pPr>
            <w:r w:rsidRPr="00A40B68">
              <w:t>1.4</w:t>
            </w:r>
            <w:r w:rsidRPr="00A40B68">
              <w:tab/>
              <w:t>Review environ</w:t>
            </w:r>
            <w:r w:rsidRPr="00A40B68">
              <w:t xml:space="preserve">mental requirements for the task in accordance with environmental plans and legislative requirements. </w:t>
            </w:r>
          </w:p>
          <w:p w:rsidR="00000000" w:rsidRPr="00A40B68" w:rsidP="00A40B68">
            <w:pPr>
              <w:pStyle w:val="BodyText"/>
            </w:pPr>
            <w:r w:rsidRPr="00A40B68">
              <w:t>1.5</w:t>
            </w:r>
            <w:r w:rsidRPr="00A40B68">
              <w:tab/>
              <w:t>Select plant, tools and equipment, check for serviceability and rectify or report any faults.</w:t>
            </w:r>
          </w:p>
          <w:p w:rsidR="00000000" w:rsidP="00A40B68">
            <w:pPr>
              <w:pStyle w:val="BodyText"/>
              <w:rPr>
                <w:lang w:val="en-NZ"/>
              </w:rPr>
            </w:pPr>
            <w:r w:rsidRPr="00A40B68">
              <w:t>1.6</w:t>
            </w:r>
            <w:r w:rsidRPr="00A40B68">
              <w:tab/>
              <w:t>Clean standard slumping cone in preparation for slu</w:t>
            </w:r>
            <w:r w:rsidRPr="00A40B68">
              <w:t>mp testing.</w:t>
            </w:r>
          </w:p>
        </w:tc>
      </w:tr>
      <w:tr w:rsidTr="00A40B6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68">
            <w:pPr>
              <w:pStyle w:val="BodyText"/>
              <w:rPr>
                <w:lang w:val="en-NZ"/>
              </w:rPr>
            </w:pPr>
            <w:r w:rsidRPr="00A40B68">
              <w:t>2.</w:t>
            </w:r>
            <w:r w:rsidRPr="00A40B68">
              <w:tab/>
              <w:t>Conduct slump test.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68" w:rsidP="00A40B68">
            <w:pPr>
              <w:pStyle w:val="BodyText"/>
            </w:pPr>
            <w:r w:rsidRPr="00A40B68">
              <w:t>2.1</w:t>
            </w:r>
            <w:r w:rsidRPr="00A40B68">
              <w:tab/>
              <w:t>Fit personal protective equipment (PPE).</w:t>
            </w:r>
          </w:p>
          <w:p w:rsidR="00000000" w:rsidRPr="00A40B68" w:rsidP="00A40B68">
            <w:pPr>
              <w:pStyle w:val="BodyText"/>
            </w:pPr>
            <w:r w:rsidRPr="00A40B68">
              <w:t>2.2</w:t>
            </w:r>
            <w:r w:rsidRPr="00A40B68">
              <w:tab/>
              <w:t>Take sample of concrete in accordance with Australian Standard requirements and test for consistency, directly from the delivery truck and after discharge of initial 0.2 c</w:t>
            </w:r>
            <w:r w:rsidRPr="00A40B68">
              <w:t>ubic metres.</w:t>
            </w:r>
          </w:p>
          <w:p w:rsidR="00000000" w:rsidRPr="00A40B68" w:rsidP="00A40B68">
            <w:pPr>
              <w:pStyle w:val="BodyText"/>
            </w:pPr>
            <w:r w:rsidRPr="00A40B68">
              <w:t>2.3</w:t>
            </w:r>
            <w:r w:rsidRPr="00A40B68">
              <w:tab/>
              <w:t>Level-off slumping cone and clear surplus concrete from steel plate and slumping cone.</w:t>
            </w:r>
          </w:p>
          <w:p w:rsidR="00000000" w:rsidRPr="00A40B68" w:rsidP="00A40B68">
            <w:pPr>
              <w:pStyle w:val="BodyText"/>
            </w:pPr>
            <w:r w:rsidRPr="00A40B68">
              <w:t>2.4</w:t>
            </w:r>
            <w:r w:rsidRPr="00A40B68">
              <w:tab/>
              <w:t>Raise slumping cone without moving the sample.</w:t>
            </w:r>
          </w:p>
          <w:p w:rsidR="00000000" w:rsidRPr="00A40B68" w:rsidP="00A40B68">
            <w:pPr>
              <w:pStyle w:val="BodyText"/>
            </w:pPr>
            <w:r w:rsidRPr="00A40B68">
              <w:t>2.5</w:t>
            </w:r>
            <w:r w:rsidRPr="00A40B68">
              <w:tab/>
              <w:t>Measure sample for conformity with tolerance levels and carry out resampling if sample is outside</w:t>
            </w:r>
            <w:r w:rsidRPr="00A40B68">
              <w:t xml:space="preserve"> tolerance.</w:t>
            </w:r>
          </w:p>
          <w:p w:rsidR="00000000" w:rsidP="00A40B68">
            <w:pPr>
              <w:pStyle w:val="BodyText"/>
              <w:rPr>
                <w:lang w:val="en-NZ"/>
              </w:rPr>
            </w:pPr>
            <w:r w:rsidRPr="00A40B68">
              <w:t>2.6</w:t>
            </w:r>
            <w:r w:rsidRPr="00A40B68">
              <w:tab/>
              <w:t>Record collapsed or sheared samples.</w:t>
            </w:r>
          </w:p>
        </w:tc>
      </w:tr>
      <w:tr w:rsidTr="00A40B68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0B68">
            <w:pPr>
              <w:pStyle w:val="BodyText"/>
              <w:rPr>
                <w:lang w:val="en-NZ"/>
              </w:rPr>
            </w:pPr>
            <w:r w:rsidRPr="00A40B68">
              <w:t>3.</w:t>
            </w:r>
            <w:r w:rsidRPr="00A40B68">
              <w:tab/>
              <w:t>Clean up after conducting slump test.</w:t>
            </w:r>
          </w:p>
        </w:tc>
        <w:tc>
          <w:tcPr>
            <w:tcW w:w="68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0B68" w:rsidP="00A40B68">
            <w:pPr>
              <w:pStyle w:val="BodyText"/>
            </w:pPr>
            <w:r w:rsidRPr="00A40B68">
              <w:t>3.1</w:t>
            </w:r>
            <w:r w:rsidRPr="00A40B68">
              <w:tab/>
              <w:t>Clean, check, maintain and store tools and equipment in accordance with manufacturers’ specifications and workplace requirements.</w:t>
            </w:r>
          </w:p>
          <w:p w:rsidR="00000000" w:rsidRPr="00A40B68" w:rsidP="00A40B68">
            <w:pPr>
              <w:pStyle w:val="BodyText"/>
            </w:pPr>
            <w:r w:rsidRPr="00A40B68">
              <w:t>3.2</w:t>
            </w:r>
            <w:r w:rsidRPr="00A40B68">
              <w:tab/>
              <w:t>Apply work completion p</w:t>
            </w:r>
            <w:r w:rsidRPr="00A40B68">
              <w:t>rocedures and notify nominated personnel that testing is completed.</w:t>
            </w:r>
          </w:p>
        </w:tc>
      </w:tr>
    </w:tbl>
    <w:p w:rsidR="00000000" w:rsidRPr="00A40B68" w:rsidP="00A40B68">
      <w:pPr>
        <w:pStyle w:val="BodyText"/>
      </w:pPr>
    </w:p>
    <w:p w:rsidR="00000000" w:rsidRPr="00A40B68" w:rsidP="00A40B68">
      <w:pPr>
        <w:pStyle w:val="AllowPageBreak"/>
      </w:pPr>
    </w:p>
    <w:p w:rsidR="00000000" w:rsidRPr="00A40B68" w:rsidP="00A40B68">
      <w:pPr>
        <w:pStyle w:val="Heading1"/>
      </w:pPr>
      <w:bookmarkStart w:id="6" w:name="O_1014027"/>
      <w:bookmarkEnd w:id="6"/>
      <w:r w:rsidRPr="00A40B68">
        <w:t>Foundation Skills</w:t>
      </w:r>
    </w:p>
    <w:p w:rsidR="00000000" w:rsidRPr="00A40B68" w:rsidP="008C6F5A">
      <w:pPr>
        <w:pStyle w:val="BodyText"/>
      </w:pPr>
      <w:r w:rsidRPr="00A40B68">
        <w:t xml:space="preserve">This section describes the language, literacy, numeracy and employment skills essential to performance in this unit but not explicit </w:t>
      </w:r>
      <w:r w:rsidRPr="00A40B68">
        <w:t>in the performance criteria.</w:t>
      </w:r>
    </w:p>
    <w:p w:rsidR="00000000" w:rsidRPr="00A40B68" w:rsidP="00A40B68">
      <w:pPr>
        <w:pStyle w:val="ListBullet"/>
      </w:pPr>
      <w:r w:rsidRPr="00A40B68">
        <w:t>oral communication skills to:</w:t>
      </w:r>
    </w:p>
    <w:p w:rsidR="00000000" w:rsidRPr="00A40B68" w:rsidP="00A40B68">
      <w:pPr>
        <w:pStyle w:val="ListBullet2"/>
      </w:pPr>
      <w:r w:rsidRPr="00A40B68">
        <w:t>use questioning to identify and confirm requirements</w:t>
      </w:r>
    </w:p>
    <w:p w:rsidR="00000000" w:rsidRPr="00A40B68" w:rsidP="00A40B68">
      <w:pPr>
        <w:pStyle w:val="ListBullet2"/>
      </w:pPr>
      <w:r w:rsidRPr="00A40B68">
        <w:t>discuss cause of problems</w:t>
      </w:r>
    </w:p>
    <w:p w:rsidR="00000000" w:rsidRPr="00A40B68" w:rsidP="00A40B68">
      <w:pPr>
        <w:pStyle w:val="ListBullet2"/>
      </w:pPr>
      <w:r w:rsidRPr="00A40B68">
        <w:t>report work site hazards, including faults in tools, equipment and materials.</w:t>
      </w:r>
    </w:p>
    <w:p w:rsidR="00000000" w:rsidRPr="00A40B68" w:rsidP="00A40B68">
      <w:pPr>
        <w:pStyle w:val="AllowPageBreak"/>
      </w:pPr>
    </w:p>
    <w:p w:rsidR="00000000" w:rsidRPr="00A40B68" w:rsidP="00A40B68">
      <w:pPr>
        <w:pStyle w:val="Heading1"/>
      </w:pPr>
      <w:bookmarkStart w:id="7" w:name="O_1014026"/>
      <w:bookmarkEnd w:id="7"/>
      <w:r w:rsidRPr="00A40B68">
        <w:t>Unit Mapping Inform</w:t>
      </w:r>
      <w:r w:rsidRPr="00A40B68">
        <w:t>ation</w:t>
      </w:r>
    </w:p>
    <w:p w:rsidR="00000000" w:rsidRPr="00A40B68" w:rsidP="008C6F5A">
      <w:pPr>
        <w:pStyle w:val="BodyText"/>
      </w:pPr>
      <w:r w:rsidRPr="00A40B68">
        <w:t>Supersedes and is equivalent to CPCCCO3053A Slump test concrete.</w:t>
      </w:r>
    </w:p>
    <w:p w:rsidR="00000000" w:rsidRPr="00A40B68" w:rsidP="00A40B68">
      <w:pPr>
        <w:pStyle w:val="Heading1"/>
      </w:pPr>
      <w:bookmarkStart w:id="8" w:name="O_1014019"/>
      <w:bookmarkEnd w:id="8"/>
      <w:r w:rsidRPr="00A40B68">
        <w:t>Links</w:t>
      </w:r>
    </w:p>
    <w:p w:rsidR="00000000" w:rsidRPr="00A40B68" w:rsidP="008C6F5A">
      <w:pPr>
        <w:pStyle w:val="BodyText"/>
      </w:pPr>
      <w:r w:rsidRPr="00A40B6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"https://vetnet.education.gov.au/Pages/TrainingDocs.aspx?q=7e15fa6a-68b8-4097-b099-030a5569b1ad" </w:instrText>
      </w:r>
      <w:r>
        <w:fldChar w:fldCharType="separate"/>
      </w:r>
      <w:r w:rsidRPr="007168B6">
        <w:rPr>
          <w:rStyle w:val="Hyperlink"/>
        </w:rPr>
        <w:t>https://vetnet.education.gov.au/Pages/TrainingDocs.aspx?q=7e15fa6a-68b8-4097-b099-030a5569b1ad</w:t>
      </w:r>
      <w:r>
        <w:fldChar w:fldCharType="end"/>
      </w:r>
    </w:p>
    <w:p w:rsidR="00000000" w:rsidRPr="00A40B68" w:rsidP="00A40B68"/>
    <w:sectPr w:rsidSect="00A40B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68" w:rsidRPr="008C6F5A" w:rsidP="008C6F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5A" w:rsidP="00A40B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6F5A" w:rsidP="00A40B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C6F5A" w:rsidP="00A40B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0B68" w:rsidRPr="008C6F5A" w:rsidP="008C6F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B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5A" w:rsidRPr="002D2AF8" w:rsidP="00A40B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CPCCCO3053 Slump test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January 2019</w:t>
    </w:r>
    <w:r>
      <w:fldChar w:fldCharType="end"/>
    </w:r>
  </w:p>
  <w:p w:rsidR="008C6F5A" w:rsidP="00A40B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C03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6A3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BA6E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0B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0B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0B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0B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0B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0B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0B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0B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0B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0B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0B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0B68"/>
  </w:style>
  <w:style w:type="character" w:customStyle="1" w:styleId="Heading1Char">
    <w:name w:val="Heading 1 Char"/>
    <w:basedOn w:val="DefaultParagraphFont"/>
    <w:link w:val="Heading1"/>
    <w:rsid w:val="00A40B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0B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0B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40B6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40B6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40B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0B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0B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0B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0B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0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0B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0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0B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0B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0B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0B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0B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0B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0B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0B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0B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0B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0B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0B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0B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40B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0B68"/>
    <w:rPr>
      <w:b/>
      <w:spacing w:val="0"/>
    </w:rPr>
  </w:style>
  <w:style w:type="paragraph" w:customStyle="1" w:styleId="SuperTitle">
    <w:name w:val="SuperTitle"/>
    <w:basedOn w:val="Title"/>
    <w:rsid w:val="00A40B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0B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0B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40B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0B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0B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0B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0B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0B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0B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0B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0B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0B68"/>
    <w:rPr>
      <w:i/>
    </w:rPr>
  </w:style>
  <w:style w:type="paragraph" w:styleId="Caption">
    <w:name w:val="caption"/>
    <w:basedOn w:val="BodyText"/>
    <w:next w:val="Normal"/>
    <w:qFormat/>
    <w:rsid w:val="00A40B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0B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0B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0B68"/>
  </w:style>
  <w:style w:type="paragraph" w:styleId="TableofFigures">
    <w:name w:val="table of figures"/>
    <w:basedOn w:val="Normal"/>
    <w:next w:val="Normal"/>
    <w:semiHidden/>
    <w:rsid w:val="00A40B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0B68"/>
    <w:pPr>
      <w:numPr>
        <w:numId w:val="11"/>
      </w:numPr>
    </w:pPr>
  </w:style>
  <w:style w:type="character" w:customStyle="1" w:styleId="WingdingSymbols">
    <w:name w:val="Wingding Symbols"/>
    <w:rsid w:val="00A40B68"/>
    <w:rPr>
      <w:rFonts w:ascii="Wingdings" w:hAnsi="Wingdings"/>
    </w:rPr>
  </w:style>
  <w:style w:type="paragraph" w:customStyle="1" w:styleId="TableHeading">
    <w:name w:val="Table Heading"/>
    <w:basedOn w:val="HeadingBase"/>
    <w:rsid w:val="00A40B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0B68"/>
    <w:rPr>
      <w:color w:val="0033CC"/>
      <w:u w:val="none"/>
    </w:rPr>
  </w:style>
  <w:style w:type="paragraph" w:customStyle="1" w:styleId="BodyTextRight">
    <w:name w:val="Body Text Right"/>
    <w:basedOn w:val="BodyText"/>
    <w:rsid w:val="00A40B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0B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0B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0B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0B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0B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0B68"/>
    <w:rPr>
      <w:sz w:val="32"/>
    </w:rPr>
  </w:style>
  <w:style w:type="paragraph" w:customStyle="1" w:styleId="HeadingProcedure">
    <w:name w:val="Heading Procedure"/>
    <w:basedOn w:val="HeadingBase"/>
    <w:next w:val="Normal"/>
    <w:rsid w:val="00A40B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0B68"/>
    <w:pPr>
      <w:spacing w:before="60" w:after="60"/>
    </w:pPr>
  </w:style>
  <w:style w:type="paragraph" w:styleId="ListContinue">
    <w:name w:val="List Continue"/>
    <w:basedOn w:val="List"/>
    <w:rsid w:val="00A40B68"/>
    <w:pPr>
      <w:ind w:firstLine="0"/>
    </w:pPr>
  </w:style>
  <w:style w:type="paragraph" w:customStyle="1" w:styleId="ListNote">
    <w:name w:val="List Note"/>
    <w:basedOn w:val="List"/>
    <w:rsid w:val="00A40B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0B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0B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0B68"/>
    <w:rPr>
      <w:rFonts w:ascii="Courier New" w:hAnsi="Courier New"/>
    </w:rPr>
  </w:style>
  <w:style w:type="paragraph" w:customStyle="1" w:styleId="NoteBullet">
    <w:name w:val="Note Bullet"/>
    <w:basedOn w:val="Note"/>
    <w:rsid w:val="00A40B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0B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0B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0B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0B6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40B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0B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0B68"/>
    <w:rPr>
      <w:b/>
      <w:smallCaps/>
    </w:rPr>
  </w:style>
  <w:style w:type="paragraph" w:customStyle="1" w:styleId="TableListNumber">
    <w:name w:val="Table List Number"/>
    <w:basedOn w:val="ListNumber"/>
    <w:rsid w:val="00A40B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0B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0B68"/>
    <w:pPr>
      <w:numPr>
        <w:numId w:val="9"/>
      </w:numPr>
    </w:pPr>
  </w:style>
  <w:style w:type="paragraph" w:customStyle="1" w:styleId="ListAlpha2">
    <w:name w:val="List Alpha 2"/>
    <w:basedOn w:val="List2"/>
    <w:rsid w:val="00A40B68"/>
    <w:pPr>
      <w:numPr>
        <w:numId w:val="8"/>
      </w:numPr>
    </w:pPr>
  </w:style>
  <w:style w:type="paragraph" w:styleId="List2">
    <w:name w:val="List 2"/>
    <w:basedOn w:val="BodyText"/>
    <w:rsid w:val="00A40B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0B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0B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0B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0B6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0B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40B68"/>
    <w:pPr>
      <w:numPr>
        <w:numId w:val="4"/>
      </w:numPr>
    </w:pPr>
  </w:style>
  <w:style w:type="paragraph" w:styleId="ListContinue2">
    <w:name w:val="List Continue 2"/>
    <w:basedOn w:val="List2"/>
    <w:rsid w:val="00A40B68"/>
    <w:pPr>
      <w:ind w:firstLine="0"/>
    </w:pPr>
  </w:style>
  <w:style w:type="paragraph" w:styleId="ListContinue3">
    <w:name w:val="List Continue 3"/>
    <w:basedOn w:val="List3"/>
    <w:rsid w:val="00A40B68"/>
    <w:pPr>
      <w:ind w:left="1021" w:firstLine="0"/>
    </w:pPr>
  </w:style>
  <w:style w:type="paragraph" w:styleId="ListContinue4">
    <w:name w:val="List Continue 4"/>
    <w:basedOn w:val="List4"/>
    <w:rsid w:val="00A40B68"/>
    <w:pPr>
      <w:ind w:firstLine="0"/>
    </w:pPr>
  </w:style>
  <w:style w:type="paragraph" w:styleId="ListContinue5">
    <w:name w:val="List Continue 5"/>
    <w:basedOn w:val="List5"/>
    <w:rsid w:val="00A40B68"/>
    <w:pPr>
      <w:ind w:firstLine="0"/>
    </w:pPr>
  </w:style>
  <w:style w:type="paragraph" w:styleId="ListNumber3">
    <w:name w:val="List Number 3"/>
    <w:basedOn w:val="List3"/>
    <w:rsid w:val="00A40B68"/>
    <w:pPr>
      <w:numPr>
        <w:numId w:val="5"/>
      </w:numPr>
    </w:pPr>
  </w:style>
  <w:style w:type="paragraph" w:styleId="ListNumber4">
    <w:name w:val="List Number 4"/>
    <w:basedOn w:val="List4"/>
    <w:rsid w:val="00A40B68"/>
    <w:pPr>
      <w:numPr>
        <w:numId w:val="6"/>
      </w:numPr>
    </w:pPr>
  </w:style>
  <w:style w:type="paragraph" w:styleId="ListNumber5">
    <w:name w:val="List Number 5"/>
    <w:basedOn w:val="List5"/>
    <w:rsid w:val="00A40B68"/>
    <w:pPr>
      <w:numPr>
        <w:numId w:val="7"/>
      </w:numPr>
    </w:pPr>
  </w:style>
  <w:style w:type="paragraph" w:styleId="BlockText">
    <w:name w:val="Block Text"/>
    <w:basedOn w:val="Normal"/>
    <w:rsid w:val="00A40B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0B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0B68"/>
    <w:rPr>
      <w:sz w:val="16"/>
      <w:vertAlign w:val="superscript"/>
    </w:rPr>
  </w:style>
  <w:style w:type="character" w:customStyle="1" w:styleId="Symbols">
    <w:name w:val="Symbols"/>
    <w:basedOn w:val="DefaultParagraphFont"/>
    <w:rsid w:val="00A40B68"/>
    <w:rPr>
      <w:rFonts w:ascii="Symbol" w:hAnsi="Symbol"/>
    </w:rPr>
  </w:style>
  <w:style w:type="character" w:customStyle="1" w:styleId="MenuOptions">
    <w:name w:val="Menu Options"/>
    <w:basedOn w:val="DefaultParagraphFont"/>
    <w:rsid w:val="00A40B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0B68"/>
    <w:rPr>
      <w:b/>
    </w:rPr>
  </w:style>
  <w:style w:type="character" w:customStyle="1" w:styleId="Underlined">
    <w:name w:val="Underlined"/>
    <w:basedOn w:val="DefaultParagraphFont"/>
    <w:rsid w:val="00A40B68"/>
    <w:rPr>
      <w:u w:val="single"/>
    </w:rPr>
  </w:style>
  <w:style w:type="paragraph" w:customStyle="1" w:styleId="TableBodyTextRight">
    <w:name w:val="Table Body Text Right"/>
    <w:basedOn w:val="TableBodyText"/>
    <w:rsid w:val="00A40B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0B68"/>
    <w:rPr>
      <w:sz w:val="18"/>
    </w:rPr>
  </w:style>
  <w:style w:type="paragraph" w:customStyle="1" w:styleId="BodySmallRight">
    <w:name w:val="Body Small Right"/>
    <w:basedOn w:val="BodyTextRight"/>
    <w:rsid w:val="00A40B68"/>
    <w:rPr>
      <w:sz w:val="18"/>
      <w:szCs w:val="18"/>
    </w:rPr>
  </w:style>
  <w:style w:type="paragraph" w:customStyle="1" w:styleId="MarginEdition">
    <w:name w:val="Margin Edition"/>
    <w:basedOn w:val="MarginNote"/>
    <w:rsid w:val="00A40B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0B68"/>
    <w:rPr>
      <w:sz w:val="2"/>
      <w:szCs w:val="2"/>
    </w:rPr>
  </w:style>
  <w:style w:type="character" w:customStyle="1" w:styleId="Small">
    <w:name w:val="Small"/>
    <w:basedOn w:val="DefaultParagraphFont"/>
    <w:rsid w:val="00A40B68"/>
    <w:rPr>
      <w:sz w:val="16"/>
    </w:rPr>
  </w:style>
  <w:style w:type="paragraph" w:customStyle="1" w:styleId="WideTable">
    <w:name w:val="Wide Table"/>
    <w:basedOn w:val="Normal"/>
    <w:rsid w:val="00A40B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0B68"/>
  </w:style>
  <w:style w:type="paragraph" w:styleId="Quote">
    <w:name w:val="Quote"/>
    <w:basedOn w:val="Heading1"/>
    <w:link w:val="QuoteChar"/>
    <w:qFormat/>
    <w:rsid w:val="00A40B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0B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0B68"/>
    <w:pPr>
      <w:pageBreakBefore/>
    </w:pPr>
  </w:style>
  <w:style w:type="paragraph" w:customStyle="1" w:styleId="Border">
    <w:name w:val="Border"/>
    <w:basedOn w:val="Normal"/>
    <w:qFormat/>
    <w:rsid w:val="00A40B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0B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0B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0B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0B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0B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0B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0B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0B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0B68"/>
    <w:rPr>
      <w:u w:val="single"/>
    </w:rPr>
  </w:style>
  <w:style w:type="character" w:customStyle="1" w:styleId="BoldandItalics">
    <w:name w:val="Bold and Italics"/>
    <w:qFormat/>
    <w:rsid w:val="00A40B68"/>
    <w:rPr>
      <w:b/>
      <w:i/>
      <w:u w:val="none"/>
    </w:rPr>
  </w:style>
  <w:style w:type="paragraph" w:styleId="BalloonText">
    <w:name w:val="Balloon Text"/>
    <w:basedOn w:val="Normal"/>
    <w:link w:val="BalloonTextChar"/>
    <w:rsid w:val="00A40B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0B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0B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0B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0B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0B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0B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6F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511</Words>
  <Characters>3164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CPCCCO3053 Slump test concrete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2019-01-17T03:17:00Z</dcterms:created>
  <dcterms:modified xsi:type="dcterms:W3CDTF">2019-01-17T03:17:00Z</dcterms:modified>
</cp:coreProperties>
</file>