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C5A" w:rsidP="006F0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CPCCCO3052 Conduct concrete boom delivery operations</w:t>
      </w:r>
      <w:r>
        <w:fldChar w:fldCharType="end"/>
      </w:r>
    </w:p>
    <w:p w:rsidR="006F0C5A" w:rsidP="006F0C5A">
      <w:pPr>
        <w:pStyle w:val="Version"/>
        <w:sectPr w:rsidSect="002B6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7CB" w:rsidP="002B67CB">
      <w:pPr>
        <w:pStyle w:val="SuperHeading"/>
      </w:pPr>
      <w:r w:rsidRPr="002B67CB">
        <w:t>Assessment Requirements for CPCCCO3052 Conduct concrete boom delivery operations</w:t>
      </w:r>
    </w:p>
    <w:p w:rsidR="00000000" w:rsidRPr="002B67CB" w:rsidP="002B67CB">
      <w:pPr>
        <w:pStyle w:val="Heading1"/>
      </w:pPr>
      <w:bookmarkStart w:id="1" w:name="O_1014004"/>
      <w:bookmarkEnd w:id="1"/>
      <w:r w:rsidRPr="002B67CB">
        <w:t>Modification History</w:t>
      </w:r>
    </w:p>
    <w:p w:rsidR="00000000" w:rsidRPr="002B67CB" w:rsidP="006F0C5A">
      <w:r w:rsidRPr="002B67CB">
        <w:t>Release 1.</w:t>
      </w:r>
    </w:p>
    <w:p w:rsidR="00000000" w:rsidRPr="002B67CB" w:rsidP="006F0C5A">
      <w:r w:rsidRPr="002B67CB">
        <w:t>Supersedes and equivalent to CPCCCO3052A Conduct concrete boom delivery operations.</w:t>
      </w:r>
    </w:p>
    <w:p w:rsidR="00000000" w:rsidRPr="002B67CB" w:rsidP="006F0C5A">
      <w:r w:rsidRPr="002B67CB">
        <w:t>The unit of competency was updated to the Standards for Training Packages 2012.</w:t>
      </w:r>
    </w:p>
    <w:p w:rsidR="00000000" w:rsidRPr="002B67CB" w:rsidP="006F0C5A">
      <w:pPr>
        <w:pStyle w:val="BodyText"/>
      </w:pPr>
      <w:r w:rsidRPr="002B67CB">
        <w:t>This version first released with CPC Construction, Plumbing and Services Training Package Version 4.0.</w:t>
      </w:r>
    </w:p>
    <w:p w:rsidR="00000000" w:rsidRPr="002B67CB" w:rsidP="002B67CB">
      <w:pPr>
        <w:pStyle w:val="Heading1"/>
      </w:pPr>
      <w:bookmarkStart w:id="2" w:name="O_1014007"/>
      <w:bookmarkEnd w:id="2"/>
      <w:r w:rsidRPr="002B67CB">
        <w:t>Performance Evidence</w:t>
      </w:r>
    </w:p>
    <w:p w:rsidR="00000000" w:rsidRPr="002B67CB" w:rsidP="006F0C5A">
      <w:pPr>
        <w:pStyle w:val="BodyText"/>
      </w:pPr>
      <w:r w:rsidRPr="002B67CB">
        <w:t>To demonstrate competency in this</w:t>
      </w:r>
      <w:r w:rsidRPr="002B67CB">
        <w:t xml:space="preserve"> unit, a person must conduct concrete boom delivery system operations at two different sites.</w:t>
      </w:r>
    </w:p>
    <w:p w:rsidR="00000000" w:rsidRPr="002B67CB" w:rsidP="006F0C5A">
      <w:pPr>
        <w:pStyle w:val="BodyText"/>
      </w:pPr>
      <w:r w:rsidRPr="002B67CB">
        <w:t>In doing this, the person must meet the performance criteria for this unit.</w:t>
      </w:r>
    </w:p>
    <w:p w:rsidR="00000000" w:rsidRPr="002B67CB" w:rsidP="002B67CB">
      <w:pPr>
        <w:pStyle w:val="Heading1"/>
      </w:pPr>
      <w:bookmarkStart w:id="3" w:name="O_1014006"/>
      <w:bookmarkEnd w:id="3"/>
      <w:r w:rsidRPr="002B67CB">
        <w:t>Knowledge Evidence</w:t>
      </w:r>
    </w:p>
    <w:p w:rsidR="00000000" w:rsidRPr="002B67CB" w:rsidP="006F0C5A">
      <w:pPr>
        <w:pStyle w:val="BodyText"/>
      </w:pPr>
      <w:r w:rsidRPr="002B67CB">
        <w:t>To be competent in this unit, a person must demo</w:t>
      </w:r>
      <w:r w:rsidRPr="002B67CB">
        <w:t xml:space="preserve">nstrate knowledge of: </w:t>
      </w:r>
    </w:p>
    <w:p w:rsidR="00000000" w:rsidRPr="002B67CB" w:rsidP="002B67CB">
      <w:pPr>
        <w:pStyle w:val="ListBullet"/>
      </w:pPr>
      <w:r w:rsidRPr="002B67CB">
        <w:t>jurisdictional work health and safety (WHS) and environmental legislation and regulations for conducting concrete boom delivery operations including:</w:t>
      </w:r>
    </w:p>
    <w:p w:rsidR="00000000" w:rsidRPr="002B67CB" w:rsidP="002B67CB">
      <w:pPr>
        <w:pStyle w:val="ListBullet2"/>
      </w:pPr>
      <w:r w:rsidRPr="002B67CB">
        <w:t xml:space="preserve">job safety analyses (JSAs) </w:t>
      </w:r>
    </w:p>
    <w:p w:rsidR="00000000" w:rsidRPr="002B67CB" w:rsidP="002B67CB">
      <w:pPr>
        <w:pStyle w:val="ListBullet2"/>
      </w:pPr>
      <w:r w:rsidRPr="002B67CB">
        <w:t>safe work method statements (SWMSs)</w:t>
      </w:r>
    </w:p>
    <w:p w:rsidR="00000000" w:rsidRPr="002B67CB" w:rsidP="002B67CB">
      <w:pPr>
        <w:pStyle w:val="ListBullet2"/>
      </w:pPr>
      <w:r w:rsidRPr="002B67CB">
        <w:t>safety data sheets (SDSs)</w:t>
      </w:r>
    </w:p>
    <w:p w:rsidR="00000000" w:rsidRPr="002B67CB" w:rsidP="002B67CB">
      <w:pPr>
        <w:pStyle w:val="ListBullet2"/>
      </w:pPr>
      <w:r w:rsidRPr="002B67CB">
        <w:t>safety manuals and instructions for plant, tools and equipment</w:t>
      </w:r>
    </w:p>
    <w:p w:rsidR="00000000" w:rsidRPr="002B67CB" w:rsidP="002B67CB">
      <w:pPr>
        <w:pStyle w:val="ListBullet2"/>
      </w:pPr>
      <w:r w:rsidRPr="002B67CB">
        <w:t>signage and barricades</w:t>
      </w:r>
    </w:p>
    <w:p w:rsidR="00000000" w:rsidRPr="002B67CB" w:rsidP="002B67CB">
      <w:pPr>
        <w:pStyle w:val="ListBullet2"/>
      </w:pPr>
      <w:r w:rsidRPr="002B67CB">
        <w:t>personal protective equipment (PPE)</w:t>
      </w:r>
    </w:p>
    <w:p w:rsidR="00000000" w:rsidRPr="002B67CB" w:rsidP="002B67CB">
      <w:pPr>
        <w:pStyle w:val="ListBullet2"/>
      </w:pPr>
      <w:r w:rsidRPr="002B67CB">
        <w:t>environmental and work site safety plans</w:t>
      </w:r>
    </w:p>
    <w:p w:rsidR="00000000" w:rsidRPr="002B67CB" w:rsidP="002B67CB">
      <w:pPr>
        <w:pStyle w:val="ListBullet2"/>
      </w:pPr>
      <w:r w:rsidRPr="002B67CB">
        <w:t>workplace and equipment safety requirements, including hazard repor</w:t>
      </w:r>
      <w:r w:rsidRPr="002B67CB">
        <w:t>ting requirements and correct handling of equipment faults</w:t>
      </w:r>
    </w:p>
    <w:p w:rsidR="00000000" w:rsidRPr="002B67CB" w:rsidP="002B67CB">
      <w:pPr>
        <w:pStyle w:val="ListBullet"/>
      </w:pPr>
      <w:r w:rsidRPr="002B67CB">
        <w:t>requirements of Australian Standards and the National Construction Code (NCC) relating to conducting concrete boom delivery operations</w:t>
      </w:r>
    </w:p>
    <w:p w:rsidR="00000000" w:rsidRPr="002B67CB" w:rsidP="002B67CB">
      <w:pPr>
        <w:pStyle w:val="ListBullet"/>
      </w:pPr>
      <w:r w:rsidRPr="002B67CB">
        <w:t xml:space="preserve">workplace requirements for all aspects of operating concrete </w:t>
      </w:r>
      <w:r w:rsidRPr="002B67CB">
        <w:t>boom delivery systems, including understanding general construction terminology, interpreting work orders and reporting problems</w:t>
      </w:r>
    </w:p>
    <w:p w:rsidR="00000000" w:rsidRPr="002B67CB" w:rsidP="002B67CB">
      <w:pPr>
        <w:pStyle w:val="ListBullet"/>
      </w:pPr>
      <w:r w:rsidRPr="002B67CB">
        <w:t>interpreting project plans and specifications for conducting concrete boom delivery operations, including requirements for safe</w:t>
      </w:r>
      <w:r w:rsidRPr="002B67CB">
        <w:t xml:space="preserve"> handling of materials</w:t>
      </w:r>
    </w:p>
    <w:p w:rsidR="00000000" w:rsidRPr="002B67CB" w:rsidP="002B67CB">
      <w:pPr>
        <w:pStyle w:val="ListBullet"/>
      </w:pPr>
      <w:r w:rsidRPr="002B67CB">
        <w:t>state or territory regulatory requirements relating to boom delivery system operations</w:t>
      </w:r>
    </w:p>
    <w:p w:rsidR="00000000" w:rsidRPr="002B67CB" w:rsidP="002B67CB">
      <w:pPr>
        <w:pStyle w:val="ListBullet"/>
      </w:pPr>
      <w:r w:rsidRPr="002B67CB">
        <w:t xml:space="preserve">characteristics, technical capabilities and limitations of concrete boom delivery vehicle systems, including: </w:t>
      </w:r>
    </w:p>
    <w:p w:rsidR="00000000" w:rsidRPr="002B67CB" w:rsidP="002B67CB">
      <w:pPr>
        <w:pStyle w:val="ListBullet2"/>
      </w:pPr>
      <w:r w:rsidRPr="002B67CB">
        <w:t>adaptors</w:t>
      </w:r>
    </w:p>
    <w:p w:rsidR="00000000" w:rsidRPr="002B67CB" w:rsidP="002B67CB">
      <w:pPr>
        <w:pStyle w:val="ListBullet2"/>
      </w:pPr>
      <w:r w:rsidRPr="002B67CB">
        <w:t>boom components</w:t>
      </w:r>
    </w:p>
    <w:p w:rsidR="00000000" w:rsidRPr="002B67CB" w:rsidP="002B67CB">
      <w:pPr>
        <w:pStyle w:val="ListBullet2"/>
      </w:pPr>
      <w:r w:rsidRPr="002B67CB">
        <w:t>hoses</w:t>
      </w:r>
    </w:p>
    <w:p w:rsidR="00000000" w:rsidRPr="002B67CB" w:rsidP="002B67CB">
      <w:pPr>
        <w:pStyle w:val="ListBullet2"/>
      </w:pPr>
      <w:r w:rsidRPr="002B67CB">
        <w:t>boom-mounted conveyors</w:t>
      </w:r>
    </w:p>
    <w:p w:rsidR="00000000" w:rsidRPr="002B67CB" w:rsidP="002B67CB">
      <w:pPr>
        <w:pStyle w:val="ListBullet2"/>
      </w:pPr>
      <w:r w:rsidRPr="002B67CB">
        <w:t xml:space="preserve">lines </w:t>
      </w:r>
    </w:p>
    <w:p w:rsidR="00000000" w:rsidRPr="002B67CB" w:rsidP="002B67CB">
      <w:pPr>
        <w:pStyle w:val="ListBullet"/>
      </w:pPr>
      <w:r w:rsidRPr="002B67CB">
        <w:t>concrete boom delivery vehicle systems processes, including:</w:t>
      </w:r>
    </w:p>
    <w:p w:rsidR="00000000" w:rsidRPr="002B67CB" w:rsidP="002B67CB">
      <w:pPr>
        <w:pStyle w:val="ListBullet2"/>
      </w:pPr>
      <w:r w:rsidRPr="002B67CB">
        <w:t>operational, maintenance and basic diagnostic procedures and use of hand tools</w:t>
      </w:r>
    </w:p>
    <w:p w:rsidR="00000000" w:rsidRPr="002B67CB" w:rsidP="002B67CB">
      <w:pPr>
        <w:pStyle w:val="ListBullet2"/>
      </w:pPr>
      <w:r w:rsidRPr="002B67CB">
        <w:t xml:space="preserve">pumps and pumping system operations </w:t>
      </w:r>
    </w:p>
    <w:p w:rsidR="00000000" w:rsidRPr="002B67CB" w:rsidP="002B67CB">
      <w:pPr>
        <w:pStyle w:val="ListBullet2"/>
      </w:pPr>
      <w:r w:rsidRPr="002B67CB">
        <w:t>safe operating techniques in all terrain</w:t>
      </w:r>
    </w:p>
    <w:p w:rsidR="00000000" w:rsidRPr="002B67CB" w:rsidP="002B67CB">
      <w:pPr>
        <w:pStyle w:val="ListBullet2"/>
      </w:pPr>
      <w:r w:rsidRPr="002B67CB">
        <w:t>boom a</w:t>
      </w:r>
      <w:r w:rsidRPr="002B67CB">
        <w:t>nd line establishment techniques and operation of delivery system</w:t>
      </w:r>
    </w:p>
    <w:p w:rsidR="00000000" w:rsidRPr="002B67CB" w:rsidP="002B67CB">
      <w:pPr>
        <w:pStyle w:val="ListBullet2"/>
      </w:pPr>
      <w:r w:rsidRPr="002B67CB">
        <w:t>construction activity sequences relating to bulk concreting operations</w:t>
      </w:r>
    </w:p>
    <w:p w:rsidR="00000000" w:rsidRPr="002B67CB" w:rsidP="002B67CB">
      <w:pPr>
        <w:pStyle w:val="ListBullet"/>
      </w:pPr>
      <w:r w:rsidRPr="002B67CB">
        <w:t>concrete mixes, including:</w:t>
      </w:r>
    </w:p>
    <w:p w:rsidR="00000000" w:rsidRPr="002B67CB" w:rsidP="002B67CB">
      <w:pPr>
        <w:pStyle w:val="ListBullet2"/>
      </w:pPr>
      <w:r w:rsidRPr="002B67CB">
        <w:t>block-fill</w:t>
      </w:r>
    </w:p>
    <w:p w:rsidR="00000000" w:rsidRPr="002B67CB" w:rsidP="002B67CB">
      <w:pPr>
        <w:pStyle w:val="ListBullet2"/>
      </w:pPr>
      <w:r w:rsidRPr="002B67CB">
        <w:t>pool-mix</w:t>
      </w:r>
    </w:p>
    <w:p w:rsidR="00000000" w:rsidRPr="002B67CB" w:rsidP="002B67CB">
      <w:pPr>
        <w:pStyle w:val="ListBullet2"/>
      </w:pPr>
      <w:r w:rsidRPr="002B67CB">
        <w:t>topping</w:t>
      </w:r>
    </w:p>
    <w:p w:rsidR="00000000" w:rsidRPr="002B67CB" w:rsidP="002B67CB">
      <w:pPr>
        <w:pStyle w:val="ListBullet2"/>
      </w:pPr>
      <w:r w:rsidRPr="002B67CB">
        <w:t>slab</w:t>
      </w:r>
    </w:p>
    <w:p w:rsidR="00000000" w:rsidRPr="002B67CB" w:rsidP="002B67CB">
      <w:pPr>
        <w:pStyle w:val="ListBullet2"/>
      </w:pPr>
      <w:r w:rsidRPr="002B67CB">
        <w:t>footing</w:t>
      </w:r>
    </w:p>
    <w:p w:rsidR="00000000" w:rsidRPr="002B67CB" w:rsidP="002B67CB">
      <w:pPr>
        <w:pStyle w:val="ListBullet2"/>
      </w:pPr>
      <w:r w:rsidRPr="002B67CB">
        <w:t>curb and guttering</w:t>
      </w:r>
    </w:p>
    <w:p w:rsidR="00000000" w:rsidRPr="002B67CB" w:rsidP="002B67CB">
      <w:pPr>
        <w:pStyle w:val="ListBullet"/>
      </w:pPr>
      <w:r w:rsidRPr="002B67CB">
        <w:t xml:space="preserve">site and equipment safety requirements: </w:t>
      </w:r>
    </w:p>
    <w:p w:rsidR="00000000" w:rsidRPr="002B67CB" w:rsidP="002B67CB">
      <w:pPr>
        <w:pStyle w:val="ListBullet2"/>
      </w:pPr>
      <w:r w:rsidRPr="002B67CB">
        <w:t>knowing when and how to activate emergency shut-down procedures</w:t>
      </w:r>
    </w:p>
    <w:p w:rsidR="00000000" w:rsidRPr="002B67CB" w:rsidP="002B67CB">
      <w:pPr>
        <w:pStyle w:val="ListBullet2"/>
      </w:pPr>
      <w:r w:rsidRPr="002B67CB">
        <w:t>overhead safety requirements relating to boom operations</w:t>
      </w:r>
    </w:p>
    <w:p w:rsidR="00000000" w:rsidRPr="002B67CB" w:rsidP="002B67CB">
      <w:pPr>
        <w:pStyle w:val="ListBullet2"/>
      </w:pPr>
      <w:r w:rsidRPr="002B67CB">
        <w:t>site isolation and traffic control responsibilities and authorities</w:t>
      </w:r>
    </w:p>
    <w:p w:rsidR="00000000" w:rsidRPr="002B67CB" w:rsidP="002B67CB">
      <w:pPr>
        <w:pStyle w:val="ListBullet2"/>
      </w:pPr>
      <w:r w:rsidRPr="002B67CB">
        <w:t>requirements for shut dow</w:t>
      </w:r>
      <w:r w:rsidRPr="002B67CB">
        <w:t>n, inspection, minor maintenance and repairs, and regular scheduled maintenance in accordance with manufacturers’ recommendations</w:t>
      </w:r>
    </w:p>
    <w:p w:rsidR="00000000" w:rsidRPr="002B67CB" w:rsidP="002B67CB">
      <w:pPr>
        <w:pStyle w:val="ListBullet"/>
      </w:pPr>
      <w:r w:rsidRPr="002B67CB">
        <w:t>requirements for cleaning up work area, materials storage and environmentally friendly waste management, and cleaning up vehi</w:t>
      </w:r>
      <w:r w:rsidRPr="002B67CB">
        <w:t>cle, tools and equipment.</w:t>
      </w:r>
    </w:p>
    <w:p w:rsidR="00000000" w:rsidRPr="002B67CB" w:rsidP="002B67CB">
      <w:pPr>
        <w:pStyle w:val="AllowPageBreak"/>
      </w:pPr>
    </w:p>
    <w:p w:rsidR="00000000" w:rsidRPr="002B67CB" w:rsidP="002B67CB">
      <w:pPr>
        <w:pStyle w:val="Heading1"/>
      </w:pPr>
      <w:bookmarkStart w:id="4" w:name="O_1014005"/>
      <w:bookmarkEnd w:id="4"/>
      <w:r w:rsidRPr="002B67CB">
        <w:t>Assessment Conditions</w:t>
      </w:r>
    </w:p>
    <w:p w:rsidR="00000000" w:rsidRPr="002B67CB" w:rsidP="006F0C5A">
      <w:pPr>
        <w:pStyle w:val="BodyText"/>
      </w:pPr>
      <w:r w:rsidRPr="002B67CB">
        <w:t xml:space="preserve">Assessors must satisfy the requirements for assessors contained in the Standards for Registered Training Organisations. </w:t>
      </w:r>
    </w:p>
    <w:p w:rsidR="00000000" w:rsidRPr="002B67CB" w:rsidP="006F0C5A">
      <w:pPr>
        <w:pStyle w:val="BodyText"/>
      </w:pPr>
      <w:r w:rsidRPr="002B67CB">
        <w:t xml:space="preserve">Assessment of performance must be undertaken in the workplace or in </w:t>
      </w:r>
      <w:r w:rsidRPr="002B67CB">
        <w:t xml:space="preserve">a simulated workplace environment. Tasks are to be performed to the level of proficiency and within the time limits expected in a workplace. </w:t>
      </w:r>
    </w:p>
    <w:p w:rsidR="00000000" w:rsidRPr="002B67CB" w:rsidP="006F0C5A">
      <w:pPr>
        <w:pStyle w:val="BodyText"/>
      </w:pPr>
      <w:r w:rsidRPr="002B67CB">
        <w:t>Assessors are responsible for ensuring that the person demonstrating competency has access to:</w:t>
      </w:r>
    </w:p>
    <w:p w:rsidR="00000000" w:rsidRPr="002B67CB" w:rsidP="002B67CB">
      <w:pPr>
        <w:pStyle w:val="ListBullet"/>
      </w:pPr>
      <w:r w:rsidRPr="002B67CB">
        <w:t>concrete boom deli</w:t>
      </w:r>
      <w:r w:rsidRPr="002B67CB">
        <w:t xml:space="preserve">very system and concrete boom delivery system operations at two different sites </w:t>
      </w:r>
    </w:p>
    <w:p w:rsidR="00000000" w:rsidRPr="002B67CB" w:rsidP="002B67CB">
      <w:pPr>
        <w:pStyle w:val="ListBullet"/>
      </w:pPr>
      <w:r w:rsidRPr="002B67CB">
        <w:t>appropriate documents, materials, tools equipment and PPE currently used in industry</w:t>
      </w:r>
    </w:p>
    <w:p w:rsidR="00000000" w:rsidRPr="002B67CB" w:rsidP="002B67CB">
      <w:pPr>
        <w:pStyle w:val="ListBullet"/>
      </w:pPr>
      <w:r w:rsidRPr="002B67CB">
        <w:t>requirements of appropriate sections of legislation and regulations</w:t>
      </w:r>
    </w:p>
    <w:p w:rsidR="00000000" w:rsidRPr="002B67CB" w:rsidP="002B67CB">
      <w:pPr>
        <w:pStyle w:val="ListBullet"/>
      </w:pPr>
      <w:r w:rsidRPr="002B67CB">
        <w:t>relevant workplace policies and procedures.</w:t>
      </w:r>
    </w:p>
    <w:p w:rsidR="00000000" w:rsidRPr="002B67CB" w:rsidP="002B67CB">
      <w:pPr>
        <w:pStyle w:val="AllowPageBreak"/>
      </w:pPr>
    </w:p>
    <w:p w:rsidR="00000000" w:rsidRPr="002B67CB" w:rsidP="002B67CB">
      <w:pPr>
        <w:pStyle w:val="Heading1"/>
      </w:pPr>
      <w:bookmarkStart w:id="5" w:name="O_1014003"/>
      <w:bookmarkEnd w:id="5"/>
      <w:r w:rsidRPr="002B67CB">
        <w:t>Links</w:t>
      </w:r>
    </w:p>
    <w:p w:rsidR="00000000" w:rsidRPr="002B67CB" w:rsidP="006F0C5A">
      <w:pPr>
        <w:pStyle w:val="BodyText"/>
      </w:pPr>
      <w:r w:rsidRPr="002B67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9B2F19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2B67CB" w:rsidP="002B67CB"/>
    <w:sectPr w:rsidSect="002B67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CB" w:rsidRPr="006F0C5A" w:rsidP="006F0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C5A" w:rsidP="002B6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C5A" w:rsidP="002B6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F0C5A" w:rsidP="002B6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C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7CB" w:rsidRPr="006F0C5A" w:rsidP="006F0C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C5A" w:rsidRPr="002D2AF8" w:rsidP="002B6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CPCCCO3052 Conduct concrete boom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6F0C5A" w:rsidP="002B6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860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D43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E3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7CB"/>
  </w:style>
  <w:style w:type="character" w:customStyle="1" w:styleId="Heading1Char">
    <w:name w:val="Heading 1 Char"/>
    <w:basedOn w:val="DefaultParagraphFont"/>
    <w:link w:val="Heading1"/>
    <w:rsid w:val="002B6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7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67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7CB"/>
    <w:rPr>
      <w:b/>
      <w:spacing w:val="0"/>
    </w:rPr>
  </w:style>
  <w:style w:type="paragraph" w:customStyle="1" w:styleId="SuperTitle">
    <w:name w:val="SuperTitle"/>
    <w:basedOn w:val="Title"/>
    <w:rsid w:val="002B6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7CB"/>
    <w:rPr>
      <w:i/>
    </w:rPr>
  </w:style>
  <w:style w:type="paragraph" w:styleId="Caption">
    <w:name w:val="caption"/>
    <w:basedOn w:val="BodyText"/>
    <w:next w:val="Normal"/>
    <w:qFormat/>
    <w:rsid w:val="002B6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7CB"/>
  </w:style>
  <w:style w:type="paragraph" w:styleId="TableofFigures">
    <w:name w:val="table of figures"/>
    <w:basedOn w:val="Normal"/>
    <w:next w:val="Normal"/>
    <w:semiHidden/>
    <w:rsid w:val="002B6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7CB"/>
    <w:pPr>
      <w:numPr>
        <w:numId w:val="11"/>
      </w:numPr>
    </w:pPr>
  </w:style>
  <w:style w:type="character" w:customStyle="1" w:styleId="WingdingSymbols">
    <w:name w:val="Wingding Symbols"/>
    <w:rsid w:val="002B67CB"/>
    <w:rPr>
      <w:rFonts w:ascii="Wingdings" w:hAnsi="Wingdings"/>
    </w:rPr>
  </w:style>
  <w:style w:type="paragraph" w:customStyle="1" w:styleId="TableHeading">
    <w:name w:val="Table Heading"/>
    <w:basedOn w:val="HeadingBase"/>
    <w:rsid w:val="002B6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7CB"/>
    <w:rPr>
      <w:color w:val="0033CC"/>
      <w:u w:val="none"/>
    </w:rPr>
  </w:style>
  <w:style w:type="paragraph" w:customStyle="1" w:styleId="BodyTextRight">
    <w:name w:val="Body Text Right"/>
    <w:basedOn w:val="BodyText"/>
    <w:rsid w:val="002B6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7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7CB"/>
    <w:rPr>
      <w:sz w:val="32"/>
    </w:rPr>
  </w:style>
  <w:style w:type="paragraph" w:customStyle="1" w:styleId="HeadingProcedure">
    <w:name w:val="Heading Procedure"/>
    <w:basedOn w:val="HeadingBase"/>
    <w:next w:val="Normal"/>
    <w:rsid w:val="002B6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7CB"/>
    <w:pPr>
      <w:spacing w:before="60" w:after="60"/>
    </w:pPr>
  </w:style>
  <w:style w:type="paragraph" w:styleId="ListContinue">
    <w:name w:val="List Continue"/>
    <w:basedOn w:val="List"/>
    <w:rsid w:val="002B67CB"/>
    <w:pPr>
      <w:ind w:firstLine="0"/>
    </w:pPr>
  </w:style>
  <w:style w:type="paragraph" w:customStyle="1" w:styleId="ListNote">
    <w:name w:val="List Note"/>
    <w:basedOn w:val="List"/>
    <w:rsid w:val="002B6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7CB"/>
    <w:rPr>
      <w:rFonts w:ascii="Courier New" w:hAnsi="Courier New"/>
    </w:rPr>
  </w:style>
  <w:style w:type="paragraph" w:customStyle="1" w:styleId="NoteBullet">
    <w:name w:val="Note Bullet"/>
    <w:basedOn w:val="Note"/>
    <w:rsid w:val="002B6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7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6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7CB"/>
    <w:rPr>
      <w:b/>
      <w:smallCaps/>
    </w:rPr>
  </w:style>
  <w:style w:type="paragraph" w:customStyle="1" w:styleId="TableListNumber">
    <w:name w:val="Table List Number"/>
    <w:basedOn w:val="ListNumber"/>
    <w:rsid w:val="002B6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7CB"/>
    <w:pPr>
      <w:numPr>
        <w:numId w:val="9"/>
      </w:numPr>
    </w:pPr>
  </w:style>
  <w:style w:type="paragraph" w:customStyle="1" w:styleId="ListAlpha2">
    <w:name w:val="List Alpha 2"/>
    <w:basedOn w:val="List2"/>
    <w:rsid w:val="002B67CB"/>
    <w:pPr>
      <w:numPr>
        <w:numId w:val="8"/>
      </w:numPr>
    </w:pPr>
  </w:style>
  <w:style w:type="paragraph" w:styleId="List2">
    <w:name w:val="List 2"/>
    <w:basedOn w:val="BodyText"/>
    <w:rsid w:val="002B6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7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7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7CB"/>
    <w:pPr>
      <w:numPr>
        <w:numId w:val="4"/>
      </w:numPr>
    </w:pPr>
  </w:style>
  <w:style w:type="paragraph" w:styleId="ListContinue2">
    <w:name w:val="List Continue 2"/>
    <w:basedOn w:val="List2"/>
    <w:rsid w:val="002B67CB"/>
    <w:pPr>
      <w:ind w:firstLine="0"/>
    </w:pPr>
  </w:style>
  <w:style w:type="paragraph" w:styleId="ListContinue3">
    <w:name w:val="List Continue 3"/>
    <w:basedOn w:val="List3"/>
    <w:rsid w:val="002B67CB"/>
    <w:pPr>
      <w:ind w:left="1021" w:firstLine="0"/>
    </w:pPr>
  </w:style>
  <w:style w:type="paragraph" w:styleId="ListContinue4">
    <w:name w:val="List Continue 4"/>
    <w:basedOn w:val="List4"/>
    <w:rsid w:val="002B67CB"/>
    <w:pPr>
      <w:ind w:firstLine="0"/>
    </w:pPr>
  </w:style>
  <w:style w:type="paragraph" w:styleId="ListContinue5">
    <w:name w:val="List Continue 5"/>
    <w:basedOn w:val="List5"/>
    <w:rsid w:val="002B67CB"/>
    <w:pPr>
      <w:ind w:firstLine="0"/>
    </w:pPr>
  </w:style>
  <w:style w:type="paragraph" w:styleId="ListNumber3">
    <w:name w:val="List Number 3"/>
    <w:basedOn w:val="List3"/>
    <w:rsid w:val="002B67CB"/>
    <w:pPr>
      <w:numPr>
        <w:numId w:val="5"/>
      </w:numPr>
    </w:pPr>
  </w:style>
  <w:style w:type="paragraph" w:styleId="ListNumber4">
    <w:name w:val="List Number 4"/>
    <w:basedOn w:val="List4"/>
    <w:rsid w:val="002B67CB"/>
    <w:pPr>
      <w:numPr>
        <w:numId w:val="6"/>
      </w:numPr>
    </w:pPr>
  </w:style>
  <w:style w:type="paragraph" w:styleId="ListNumber5">
    <w:name w:val="List Number 5"/>
    <w:basedOn w:val="List5"/>
    <w:rsid w:val="002B67CB"/>
    <w:pPr>
      <w:numPr>
        <w:numId w:val="7"/>
      </w:numPr>
    </w:pPr>
  </w:style>
  <w:style w:type="paragraph" w:styleId="BlockText">
    <w:name w:val="Block Text"/>
    <w:basedOn w:val="Normal"/>
    <w:rsid w:val="002B6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7CB"/>
    <w:rPr>
      <w:sz w:val="16"/>
      <w:vertAlign w:val="superscript"/>
    </w:rPr>
  </w:style>
  <w:style w:type="character" w:customStyle="1" w:styleId="Symbols">
    <w:name w:val="Symbols"/>
    <w:basedOn w:val="DefaultParagraphFont"/>
    <w:rsid w:val="002B67CB"/>
    <w:rPr>
      <w:rFonts w:ascii="Symbol" w:hAnsi="Symbol"/>
    </w:rPr>
  </w:style>
  <w:style w:type="character" w:customStyle="1" w:styleId="MenuOptions">
    <w:name w:val="Menu Options"/>
    <w:basedOn w:val="DefaultParagraphFont"/>
    <w:rsid w:val="002B6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7CB"/>
    <w:rPr>
      <w:b/>
    </w:rPr>
  </w:style>
  <w:style w:type="character" w:customStyle="1" w:styleId="Underlined">
    <w:name w:val="Underlined"/>
    <w:basedOn w:val="DefaultParagraphFont"/>
    <w:rsid w:val="002B67CB"/>
    <w:rPr>
      <w:u w:val="single"/>
    </w:rPr>
  </w:style>
  <w:style w:type="paragraph" w:customStyle="1" w:styleId="TableBodyTextRight">
    <w:name w:val="Table Body Text Right"/>
    <w:basedOn w:val="TableBodyText"/>
    <w:rsid w:val="002B6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7CB"/>
    <w:rPr>
      <w:sz w:val="18"/>
    </w:rPr>
  </w:style>
  <w:style w:type="paragraph" w:customStyle="1" w:styleId="BodySmallRight">
    <w:name w:val="Body Small Right"/>
    <w:basedOn w:val="BodyTextRight"/>
    <w:rsid w:val="002B67CB"/>
    <w:rPr>
      <w:sz w:val="18"/>
      <w:szCs w:val="18"/>
    </w:rPr>
  </w:style>
  <w:style w:type="paragraph" w:customStyle="1" w:styleId="MarginEdition">
    <w:name w:val="Margin Edition"/>
    <w:basedOn w:val="MarginNote"/>
    <w:rsid w:val="002B6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7CB"/>
    <w:rPr>
      <w:sz w:val="2"/>
      <w:szCs w:val="2"/>
    </w:rPr>
  </w:style>
  <w:style w:type="character" w:customStyle="1" w:styleId="Small">
    <w:name w:val="Small"/>
    <w:basedOn w:val="DefaultParagraphFont"/>
    <w:rsid w:val="002B67CB"/>
    <w:rPr>
      <w:sz w:val="16"/>
    </w:rPr>
  </w:style>
  <w:style w:type="paragraph" w:customStyle="1" w:styleId="WideTable">
    <w:name w:val="Wide Table"/>
    <w:basedOn w:val="Normal"/>
    <w:rsid w:val="002B6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7CB"/>
  </w:style>
  <w:style w:type="paragraph" w:styleId="Quote">
    <w:name w:val="Quote"/>
    <w:basedOn w:val="Heading1"/>
    <w:link w:val="QuoteChar"/>
    <w:qFormat/>
    <w:rsid w:val="002B6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7CB"/>
    <w:pPr>
      <w:pageBreakBefore/>
    </w:pPr>
  </w:style>
  <w:style w:type="paragraph" w:customStyle="1" w:styleId="Border">
    <w:name w:val="Border"/>
    <w:basedOn w:val="Normal"/>
    <w:qFormat/>
    <w:rsid w:val="002B6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7CB"/>
    <w:rPr>
      <w:u w:val="single"/>
    </w:rPr>
  </w:style>
  <w:style w:type="character" w:customStyle="1" w:styleId="BoldandItalics">
    <w:name w:val="Bold and Italics"/>
    <w:qFormat/>
    <w:rsid w:val="002B67CB"/>
    <w:rPr>
      <w:b/>
      <w:i/>
      <w:u w:val="none"/>
    </w:rPr>
  </w:style>
  <w:style w:type="paragraph" w:styleId="BalloonText">
    <w:name w:val="Balloon Text"/>
    <w:basedOn w:val="Normal"/>
    <w:link w:val="BalloonTextChar"/>
    <w:rsid w:val="002B6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7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0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3617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CPCCCO3052 Conduct concrete boom delivery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2019-01-17T03:18:00Z</dcterms:created>
  <dcterms:modified xsi:type="dcterms:W3CDTF">2019-01-17T03:18:00Z</dcterms:modified>
</cp:coreProperties>
</file>