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86F" w:rsidP="00E328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CPCCCO3048 Construct tilt panels on site</w:t>
      </w:r>
      <w:r>
        <w:fldChar w:fldCharType="end"/>
      </w:r>
    </w:p>
    <w:p w:rsidR="00E3286F" w:rsidP="00E3286F">
      <w:pPr>
        <w:pStyle w:val="Version"/>
        <w:sectPr w:rsidSect="00B112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23B" w:rsidP="00B1123B">
      <w:pPr>
        <w:pStyle w:val="SuperHeading"/>
      </w:pPr>
      <w:r w:rsidRPr="00B1123B">
        <w:t>Assessment Requirements for CPCCCO3048 Construct tilt panels on site</w:t>
      </w:r>
    </w:p>
    <w:p w:rsidR="00000000" w:rsidRPr="00B1123B" w:rsidP="00B1123B">
      <w:pPr>
        <w:pStyle w:val="Heading1"/>
      </w:pPr>
      <w:bookmarkStart w:id="1" w:name="O_1013936"/>
      <w:bookmarkEnd w:id="1"/>
      <w:r w:rsidRPr="00B1123B">
        <w:t>Modification History</w:t>
      </w:r>
    </w:p>
    <w:p w:rsidR="00000000" w:rsidRPr="00B1123B" w:rsidP="00E3286F">
      <w:r w:rsidRPr="00B1123B">
        <w:t>Release 1.</w:t>
      </w:r>
    </w:p>
    <w:p w:rsidR="00000000" w:rsidRPr="00B1123B" w:rsidP="00E3286F">
      <w:r w:rsidRPr="00B1123B">
        <w:t>Supersedes and equivalent to CPCCCO3048A Construct tilt panels on site.</w:t>
      </w:r>
    </w:p>
    <w:p w:rsidR="00000000" w:rsidRPr="00B1123B" w:rsidP="00E3286F">
      <w:r w:rsidRPr="00B1123B">
        <w:t>The unit of competency was updated to the Standards for Training Packages 2012.</w:t>
      </w:r>
    </w:p>
    <w:p w:rsidR="00000000" w:rsidRPr="00B1123B" w:rsidP="00E3286F">
      <w:pPr>
        <w:pStyle w:val="BodyText"/>
      </w:pPr>
      <w:r w:rsidRPr="00B1123B">
        <w:t>This version first released with CPC Construction, Plumbing and Services Training Package Version 4.0.</w:t>
      </w:r>
    </w:p>
    <w:p w:rsidR="00000000" w:rsidRPr="00B1123B" w:rsidP="00B1123B">
      <w:pPr>
        <w:pStyle w:val="Heading1"/>
      </w:pPr>
      <w:bookmarkStart w:id="2" w:name="O_1013939"/>
      <w:bookmarkEnd w:id="2"/>
      <w:r w:rsidRPr="00B1123B">
        <w:t>Performance Evidence</w:t>
      </w:r>
    </w:p>
    <w:p w:rsidR="00000000" w:rsidRPr="00B1123B" w:rsidP="00E3286F">
      <w:pPr>
        <w:pStyle w:val="BodyText"/>
      </w:pPr>
      <w:r w:rsidRPr="00B1123B">
        <w:t>To demonstrate competency in this</w:t>
      </w:r>
      <w:r w:rsidRPr="00B1123B">
        <w:t xml:space="preserve"> unit, a person must:</w:t>
      </w:r>
    </w:p>
    <w:p w:rsidR="00000000" w:rsidRPr="00B1123B" w:rsidP="00B1123B">
      <w:pPr>
        <w:pStyle w:val="ListBullet"/>
      </w:pPr>
      <w:r w:rsidRPr="00B1123B">
        <w:t xml:space="preserve">construct a casting bed for a minimum of one tilt panel measuring at least 20 square metres </w:t>
      </w:r>
    </w:p>
    <w:p w:rsidR="00000000" w:rsidRPr="00B1123B" w:rsidP="00B1123B">
      <w:pPr>
        <w:pStyle w:val="ListBullet"/>
      </w:pPr>
      <w:r w:rsidRPr="00B1123B">
        <w:t xml:space="preserve">construct a formwork box for a minimum of one tilt panel measuring at least 20 square metres </w:t>
      </w:r>
    </w:p>
    <w:p w:rsidR="00000000" w:rsidRPr="00B1123B" w:rsidP="00B1123B">
      <w:pPr>
        <w:pStyle w:val="ListBullet"/>
      </w:pPr>
      <w:r w:rsidRPr="00B1123B">
        <w:t>construct a minimum of one tilt panel using th</w:t>
      </w:r>
      <w:r w:rsidRPr="00B1123B">
        <w:t>e casting bed</w:t>
      </w:r>
    </w:p>
    <w:p w:rsidR="00000000" w:rsidRPr="00B1123B" w:rsidP="00B1123B">
      <w:pPr>
        <w:pStyle w:val="ListBullet"/>
      </w:pPr>
      <w:r w:rsidRPr="00B1123B">
        <w:t>construct a minimum of one tilt panel using the formwork box.</w:t>
      </w:r>
    </w:p>
    <w:p w:rsidR="00000000" w:rsidRPr="00B1123B" w:rsidP="00E3286F">
      <w:pPr>
        <w:pStyle w:val="BodyText"/>
      </w:pPr>
      <w:r w:rsidRPr="00B1123B">
        <w:t>The constructed tilt panels must include a minimum of two of the following:</w:t>
      </w:r>
    </w:p>
    <w:p w:rsidR="00000000" w:rsidRPr="00B1123B" w:rsidP="00B1123B">
      <w:pPr>
        <w:pStyle w:val="ListBullet"/>
      </w:pPr>
      <w:r w:rsidRPr="00B1123B">
        <w:t>blockouts</w:t>
      </w:r>
    </w:p>
    <w:p w:rsidR="00000000" w:rsidRPr="00B1123B" w:rsidP="00B1123B">
      <w:pPr>
        <w:pStyle w:val="ListBullet"/>
      </w:pPr>
      <w:r w:rsidRPr="00B1123B">
        <w:t>door and window penetrations</w:t>
      </w:r>
    </w:p>
    <w:p w:rsidR="00000000" w:rsidRPr="00B1123B" w:rsidP="00B1123B">
      <w:pPr>
        <w:pStyle w:val="ListBullet"/>
      </w:pPr>
      <w:r w:rsidRPr="00B1123B">
        <w:t>raking edges</w:t>
      </w:r>
    </w:p>
    <w:p w:rsidR="00000000" w:rsidRPr="00B1123B" w:rsidP="00B1123B">
      <w:pPr>
        <w:pStyle w:val="ListBullet"/>
      </w:pPr>
      <w:r w:rsidRPr="00B1123B">
        <w:t>water proofing and decorative rebates.</w:t>
      </w:r>
    </w:p>
    <w:p w:rsidR="00E3286F" w:rsidP="00E3286F">
      <w:pPr>
        <w:pStyle w:val="BodyText"/>
      </w:pPr>
      <w:r w:rsidRPr="00B1123B">
        <w:t>In doing thi</w:t>
      </w:r>
      <w:r w:rsidRPr="00B1123B">
        <w:t>s, the person must meet the performance criteria for this unit.</w:t>
      </w:r>
    </w:p>
    <w:p w:rsidR="00000000" w:rsidRPr="00B1123B" w:rsidP="00B1123B">
      <w:pPr>
        <w:pStyle w:val="Heading1"/>
      </w:pPr>
      <w:bookmarkStart w:id="3" w:name="O_1013938"/>
      <w:bookmarkEnd w:id="3"/>
      <w:r w:rsidRPr="00B1123B">
        <w:t>Knowledge Evidence</w:t>
      </w:r>
    </w:p>
    <w:p w:rsidR="00000000" w:rsidRPr="00B1123B" w:rsidP="00E3286F">
      <w:pPr>
        <w:pStyle w:val="BodyText"/>
      </w:pPr>
      <w:r w:rsidRPr="00B1123B">
        <w:t xml:space="preserve">To be competent in this unit, a person must demonstrate knowledge of: </w:t>
      </w:r>
    </w:p>
    <w:p w:rsidR="00000000" w:rsidRPr="00B1123B" w:rsidP="00B1123B">
      <w:pPr>
        <w:pStyle w:val="ListBullet"/>
      </w:pPr>
      <w:r w:rsidRPr="00B1123B">
        <w:t>jurisdictional work health and safety (WHS) and environmental legislation and regulations relating to constructing tilt panels on site, including:</w:t>
      </w:r>
    </w:p>
    <w:p w:rsidR="00000000" w:rsidRPr="00B1123B" w:rsidP="00B1123B">
      <w:pPr>
        <w:pStyle w:val="ListBullet2"/>
      </w:pPr>
      <w:r w:rsidRPr="00B1123B">
        <w:t xml:space="preserve">job safety analyses (JSAs) </w:t>
      </w:r>
    </w:p>
    <w:p w:rsidR="00000000" w:rsidRPr="00B1123B" w:rsidP="00B1123B">
      <w:pPr>
        <w:pStyle w:val="ListBullet2"/>
      </w:pPr>
      <w:r w:rsidRPr="00B1123B">
        <w:t>safe work method statements (SWMSs)</w:t>
      </w:r>
    </w:p>
    <w:p w:rsidR="00000000" w:rsidRPr="00B1123B" w:rsidP="00B1123B">
      <w:pPr>
        <w:pStyle w:val="ListBullet2"/>
      </w:pPr>
      <w:r w:rsidRPr="00B1123B">
        <w:t>safety data sheets (SDSs)</w:t>
      </w:r>
    </w:p>
    <w:p w:rsidR="00000000" w:rsidRPr="00B1123B" w:rsidP="00B1123B">
      <w:pPr>
        <w:pStyle w:val="ListBullet2"/>
      </w:pPr>
      <w:r w:rsidRPr="00B1123B">
        <w:t>safety manuals and</w:t>
      </w:r>
      <w:r w:rsidRPr="00B1123B">
        <w:t xml:space="preserve"> instructions for plant, tools and equipment</w:t>
      </w:r>
    </w:p>
    <w:p w:rsidR="00000000" w:rsidRPr="00B1123B" w:rsidP="00B1123B">
      <w:pPr>
        <w:pStyle w:val="ListBullet2"/>
      </w:pPr>
      <w:r w:rsidRPr="00B1123B">
        <w:t>signage and barricades</w:t>
      </w:r>
    </w:p>
    <w:p w:rsidR="00000000" w:rsidRPr="00B1123B" w:rsidP="00B1123B">
      <w:pPr>
        <w:pStyle w:val="ListBullet2"/>
      </w:pPr>
      <w:r w:rsidRPr="00B1123B">
        <w:t>personal protective equipment (PPE)</w:t>
      </w:r>
    </w:p>
    <w:p w:rsidR="00000000" w:rsidRPr="00B1123B" w:rsidP="00B1123B">
      <w:pPr>
        <w:pStyle w:val="ListBullet2"/>
      </w:pPr>
      <w:r w:rsidRPr="00B1123B">
        <w:t>environmental and work site safety plans</w:t>
      </w:r>
    </w:p>
    <w:p w:rsidR="00000000" w:rsidRPr="00B1123B" w:rsidP="00B1123B">
      <w:pPr>
        <w:pStyle w:val="ListBullet"/>
      </w:pPr>
      <w:r w:rsidRPr="00B1123B">
        <w:t>requirements of Australian Standards and the National Construction Code (NCC) relating to constructing tilt pa</w:t>
      </w:r>
      <w:r w:rsidRPr="00B1123B">
        <w:t>nels on site</w:t>
      </w:r>
    </w:p>
    <w:p w:rsidR="00000000" w:rsidRPr="00B1123B" w:rsidP="00B1123B">
      <w:pPr>
        <w:pStyle w:val="ListBullet"/>
      </w:pPr>
      <w:r w:rsidRPr="00B1123B">
        <w:t>workplace requirements for all aspects of constructing tilt panels on site, including interpreting work orders and reporting problems</w:t>
      </w:r>
    </w:p>
    <w:p w:rsidR="00000000" w:rsidRPr="00B1123B" w:rsidP="00B1123B">
      <w:pPr>
        <w:pStyle w:val="ListBullet"/>
      </w:pPr>
      <w:r w:rsidRPr="00B1123B">
        <w:t>interpreting project plans and specifications for constructing tilt panels on site requirements</w:t>
      </w:r>
    </w:p>
    <w:p w:rsidR="00000000" w:rsidRPr="00B1123B" w:rsidP="00B1123B">
      <w:pPr>
        <w:pStyle w:val="ListBullet"/>
      </w:pPr>
      <w:r w:rsidRPr="00B1123B">
        <w:t>types, charac</w:t>
      </w:r>
      <w:r w:rsidRPr="00B1123B">
        <w:t>teristics, uses and limitations of plant, tools, equipment and materials used for constructing tilt panels on site</w:t>
      </w:r>
    </w:p>
    <w:p w:rsidR="00000000" w:rsidRPr="00B1123B" w:rsidP="00B1123B">
      <w:pPr>
        <w:pStyle w:val="ListBullet"/>
      </w:pPr>
      <w:r w:rsidRPr="00B1123B">
        <w:t>compliance requirements of regulations and standards relating to constructing tilt panels on site, including relevant sections of:</w:t>
      </w:r>
    </w:p>
    <w:p w:rsidR="00000000" w:rsidRPr="00B1123B" w:rsidP="00B1123B">
      <w:pPr>
        <w:pStyle w:val="ListBullet2"/>
      </w:pPr>
      <w:r w:rsidRPr="00B1123B">
        <w:t>Australian Standard (AS) 3600 Concrete structures</w:t>
      </w:r>
    </w:p>
    <w:p w:rsidR="00000000" w:rsidRPr="00B1123B" w:rsidP="00B1123B">
      <w:pPr>
        <w:pStyle w:val="ListBullet"/>
      </w:pPr>
      <w:r w:rsidRPr="00B1123B">
        <w:t>formwork and reinforcing techniques and componentry for tilt panels</w:t>
      </w:r>
    </w:p>
    <w:p w:rsidR="00000000" w:rsidRPr="00B1123B" w:rsidP="00B1123B">
      <w:pPr>
        <w:pStyle w:val="ListBullet"/>
      </w:pPr>
      <w:r w:rsidRPr="00B1123B">
        <w:t>tilt panel construction materials and techniques</w:t>
      </w:r>
    </w:p>
    <w:p w:rsidR="00000000" w:rsidRPr="00B1123B" w:rsidP="00B1123B">
      <w:pPr>
        <w:pStyle w:val="ListBullet"/>
      </w:pPr>
      <w:r w:rsidRPr="00B1123B">
        <w:t>techniques and processes for lifting inserts and positioning ferrules</w:t>
      </w:r>
    </w:p>
    <w:p w:rsidR="00000000" w:rsidRPr="00B1123B" w:rsidP="00B1123B">
      <w:pPr>
        <w:pStyle w:val="ListBullet"/>
      </w:pPr>
      <w:r w:rsidRPr="00B1123B">
        <w:t>tensile strength o</w:t>
      </w:r>
      <w:r w:rsidRPr="00B1123B">
        <w:t>f concrete panels</w:t>
      </w:r>
    </w:p>
    <w:p w:rsidR="00000000" w:rsidRPr="00B1123B" w:rsidP="00B1123B">
      <w:pPr>
        <w:pStyle w:val="ListBullet"/>
      </w:pPr>
      <w:r w:rsidRPr="00B1123B">
        <w:t>processes for placing, finishing and curing concrete</w:t>
      </w:r>
    </w:p>
    <w:p w:rsidR="00000000" w:rsidRPr="00B1123B" w:rsidP="00B1123B">
      <w:pPr>
        <w:pStyle w:val="ListBullet"/>
      </w:pPr>
      <w:r w:rsidRPr="00B1123B">
        <w:t>concreting levelling techniques</w:t>
      </w:r>
    </w:p>
    <w:p w:rsidR="00000000" w:rsidRPr="00B1123B" w:rsidP="00B1123B">
      <w:pPr>
        <w:pStyle w:val="ListBullet"/>
      </w:pPr>
      <w:r w:rsidRPr="00B1123B">
        <w:t>requirements for cleaning up work area and tools, materials storage and environmentally friendly waste management.</w:t>
      </w:r>
    </w:p>
    <w:p w:rsidR="00000000" w:rsidRPr="00B1123B" w:rsidP="00B1123B">
      <w:pPr>
        <w:pStyle w:val="AllowPageBreak"/>
      </w:pPr>
    </w:p>
    <w:p w:rsidR="00000000" w:rsidRPr="00B1123B" w:rsidP="00B1123B">
      <w:pPr>
        <w:pStyle w:val="Heading1"/>
      </w:pPr>
      <w:bookmarkStart w:id="4" w:name="O_1013937"/>
      <w:bookmarkEnd w:id="4"/>
      <w:r w:rsidRPr="00B1123B">
        <w:t>Assessment Conditio</w:t>
      </w:r>
      <w:r w:rsidRPr="00B1123B">
        <w:t>ns</w:t>
      </w:r>
    </w:p>
    <w:p w:rsidR="00000000" w:rsidRPr="00B1123B" w:rsidP="00E3286F">
      <w:pPr>
        <w:pStyle w:val="BodyText"/>
      </w:pPr>
      <w:r w:rsidRPr="00B1123B">
        <w:t xml:space="preserve">Assessors must satisfy the requirements for assessors contained in the Standards for Registered Training Organisations. </w:t>
      </w:r>
    </w:p>
    <w:p w:rsidR="00000000" w:rsidRPr="00B1123B" w:rsidP="00E3286F">
      <w:pPr>
        <w:pStyle w:val="BodyText"/>
      </w:pPr>
      <w:r w:rsidRPr="00B1123B">
        <w:t xml:space="preserve">Assessment of performance must be undertaken in the workplace or in a simulated workplace environment. Tasks are to be performed to </w:t>
      </w:r>
      <w:r w:rsidRPr="00B1123B">
        <w:t xml:space="preserve">the level of proficiency and within the time limits expected in a workplace. </w:t>
      </w:r>
    </w:p>
    <w:p w:rsidR="00000000" w:rsidRPr="00B1123B" w:rsidP="00E3286F">
      <w:pPr>
        <w:pStyle w:val="BodyText"/>
      </w:pPr>
      <w:r w:rsidRPr="00B1123B">
        <w:t>Assessors are responsible for ensuring that the person demonstrating competency has access to:</w:t>
      </w:r>
    </w:p>
    <w:p w:rsidR="00000000" w:rsidRPr="00B1123B" w:rsidP="00B1123B">
      <w:pPr>
        <w:pStyle w:val="ListBullet"/>
      </w:pPr>
      <w:r w:rsidRPr="00B1123B">
        <w:t>work sites and specifications for constructing tilt panels on site</w:t>
      </w:r>
    </w:p>
    <w:p w:rsidR="00000000" w:rsidRPr="00B1123B" w:rsidP="00B1123B">
      <w:pPr>
        <w:pStyle w:val="ListBullet"/>
      </w:pPr>
      <w:r w:rsidRPr="00B1123B">
        <w:t>appropriate documents, formwork, materials, tools, equipment and PPE currently used in industry</w:t>
      </w:r>
    </w:p>
    <w:p w:rsidR="00000000" w:rsidRPr="00B1123B" w:rsidP="00B1123B">
      <w:pPr>
        <w:pStyle w:val="ListBullet"/>
      </w:pPr>
      <w:r w:rsidRPr="00B1123B">
        <w:t>requirements of appropriate sections of legislation and regulations</w:t>
      </w:r>
    </w:p>
    <w:p w:rsidR="00000000" w:rsidRPr="00B1123B" w:rsidP="00B1123B">
      <w:pPr>
        <w:pStyle w:val="ListBullet"/>
      </w:pPr>
      <w:r w:rsidRPr="00B1123B">
        <w:t>relevant workplace policies and procedures.</w:t>
      </w:r>
    </w:p>
    <w:p w:rsidR="00000000" w:rsidRPr="00B1123B" w:rsidP="00B1123B">
      <w:pPr>
        <w:pStyle w:val="AllowPageBreak"/>
      </w:pPr>
    </w:p>
    <w:p w:rsidR="00000000" w:rsidRPr="00B1123B" w:rsidP="00B1123B">
      <w:pPr>
        <w:pStyle w:val="Heading1"/>
      </w:pPr>
      <w:bookmarkStart w:id="5" w:name="O_1013935"/>
      <w:bookmarkEnd w:id="5"/>
      <w:r w:rsidRPr="00B1123B">
        <w:t>Links</w:t>
      </w:r>
    </w:p>
    <w:p w:rsidR="00000000" w:rsidRPr="00B1123B" w:rsidP="00E3286F">
      <w:pPr>
        <w:pStyle w:val="BodyText"/>
      </w:pPr>
      <w:r w:rsidRPr="00B1123B">
        <w:t>Companion volumes to th</w:t>
      </w:r>
      <w:r w:rsidRPr="00B1123B">
        <w:t xml:space="preserve">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BB24FA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B1123B" w:rsidP="00B1123B"/>
    <w:sectPr w:rsidSect="00B112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3B" w:rsidRPr="00E3286F" w:rsidP="00E328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86F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8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23B" w:rsidRPr="00E3286F" w:rsidP="00E328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2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86F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00BA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147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CC25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2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2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2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2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2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2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2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2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2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2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2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23B"/>
  </w:style>
  <w:style w:type="character" w:customStyle="1" w:styleId="Heading1Char">
    <w:name w:val="Heading 1 Char"/>
    <w:basedOn w:val="DefaultParagraphFont"/>
    <w:link w:val="Heading1"/>
    <w:rsid w:val="00B112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2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2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123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12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12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2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12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2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2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2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2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2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2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2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2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2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2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2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2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2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12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12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123B"/>
    <w:rPr>
      <w:b/>
      <w:spacing w:val="0"/>
    </w:rPr>
  </w:style>
  <w:style w:type="paragraph" w:customStyle="1" w:styleId="SuperTitle">
    <w:name w:val="SuperTitle"/>
    <w:basedOn w:val="Title"/>
    <w:rsid w:val="00B112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2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2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12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2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2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2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2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2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2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2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2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123B"/>
    <w:rPr>
      <w:i/>
    </w:rPr>
  </w:style>
  <w:style w:type="paragraph" w:styleId="Caption">
    <w:name w:val="caption"/>
    <w:basedOn w:val="BodyText"/>
    <w:next w:val="Normal"/>
    <w:qFormat/>
    <w:rsid w:val="00B112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2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2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23B"/>
  </w:style>
  <w:style w:type="paragraph" w:styleId="TableofFigures">
    <w:name w:val="table of figures"/>
    <w:basedOn w:val="Normal"/>
    <w:next w:val="Normal"/>
    <w:semiHidden/>
    <w:rsid w:val="00B112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23B"/>
    <w:pPr>
      <w:numPr>
        <w:numId w:val="11"/>
      </w:numPr>
    </w:pPr>
  </w:style>
  <w:style w:type="character" w:customStyle="1" w:styleId="WingdingSymbols">
    <w:name w:val="Wingding Symbols"/>
    <w:rsid w:val="00B1123B"/>
    <w:rPr>
      <w:rFonts w:ascii="Wingdings" w:hAnsi="Wingdings"/>
    </w:rPr>
  </w:style>
  <w:style w:type="paragraph" w:customStyle="1" w:styleId="TableHeading">
    <w:name w:val="Table Heading"/>
    <w:basedOn w:val="HeadingBase"/>
    <w:rsid w:val="00B112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23B"/>
    <w:rPr>
      <w:color w:val="0033CC"/>
      <w:u w:val="none"/>
    </w:rPr>
  </w:style>
  <w:style w:type="paragraph" w:customStyle="1" w:styleId="BodyTextRight">
    <w:name w:val="Body Text Right"/>
    <w:basedOn w:val="BodyText"/>
    <w:rsid w:val="00B112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2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2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2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2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2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23B"/>
    <w:rPr>
      <w:sz w:val="32"/>
    </w:rPr>
  </w:style>
  <w:style w:type="paragraph" w:customStyle="1" w:styleId="HeadingProcedure">
    <w:name w:val="Heading Procedure"/>
    <w:basedOn w:val="HeadingBase"/>
    <w:next w:val="Normal"/>
    <w:rsid w:val="00B112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23B"/>
    <w:pPr>
      <w:spacing w:before="60" w:after="60"/>
    </w:pPr>
  </w:style>
  <w:style w:type="paragraph" w:styleId="ListContinue">
    <w:name w:val="List Continue"/>
    <w:basedOn w:val="List"/>
    <w:rsid w:val="00B1123B"/>
    <w:pPr>
      <w:ind w:firstLine="0"/>
    </w:pPr>
  </w:style>
  <w:style w:type="paragraph" w:customStyle="1" w:styleId="ListNote">
    <w:name w:val="List Note"/>
    <w:basedOn w:val="List"/>
    <w:rsid w:val="00B112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2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2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23B"/>
    <w:rPr>
      <w:rFonts w:ascii="Courier New" w:hAnsi="Courier New"/>
    </w:rPr>
  </w:style>
  <w:style w:type="paragraph" w:customStyle="1" w:styleId="NoteBullet">
    <w:name w:val="Note Bullet"/>
    <w:basedOn w:val="Note"/>
    <w:rsid w:val="00B112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2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2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2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2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12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2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23B"/>
    <w:rPr>
      <w:b/>
      <w:smallCaps/>
    </w:rPr>
  </w:style>
  <w:style w:type="paragraph" w:customStyle="1" w:styleId="TableListNumber">
    <w:name w:val="Table List Number"/>
    <w:basedOn w:val="ListNumber"/>
    <w:rsid w:val="00B112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2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23B"/>
    <w:pPr>
      <w:numPr>
        <w:numId w:val="9"/>
      </w:numPr>
    </w:pPr>
  </w:style>
  <w:style w:type="paragraph" w:customStyle="1" w:styleId="ListAlpha2">
    <w:name w:val="List Alpha 2"/>
    <w:basedOn w:val="List2"/>
    <w:rsid w:val="00B1123B"/>
    <w:pPr>
      <w:numPr>
        <w:numId w:val="8"/>
      </w:numPr>
    </w:pPr>
  </w:style>
  <w:style w:type="paragraph" w:styleId="List2">
    <w:name w:val="List 2"/>
    <w:basedOn w:val="BodyText"/>
    <w:rsid w:val="00B112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12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2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2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123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12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123B"/>
    <w:pPr>
      <w:numPr>
        <w:numId w:val="4"/>
      </w:numPr>
    </w:pPr>
  </w:style>
  <w:style w:type="paragraph" w:styleId="ListContinue2">
    <w:name w:val="List Continue 2"/>
    <w:basedOn w:val="List2"/>
    <w:rsid w:val="00B1123B"/>
    <w:pPr>
      <w:ind w:firstLine="0"/>
    </w:pPr>
  </w:style>
  <w:style w:type="paragraph" w:styleId="ListContinue3">
    <w:name w:val="List Continue 3"/>
    <w:basedOn w:val="List3"/>
    <w:rsid w:val="00B1123B"/>
    <w:pPr>
      <w:ind w:left="1021" w:firstLine="0"/>
    </w:pPr>
  </w:style>
  <w:style w:type="paragraph" w:styleId="ListContinue4">
    <w:name w:val="List Continue 4"/>
    <w:basedOn w:val="List4"/>
    <w:rsid w:val="00B1123B"/>
    <w:pPr>
      <w:ind w:firstLine="0"/>
    </w:pPr>
  </w:style>
  <w:style w:type="paragraph" w:styleId="ListContinue5">
    <w:name w:val="List Continue 5"/>
    <w:basedOn w:val="List5"/>
    <w:rsid w:val="00B1123B"/>
    <w:pPr>
      <w:ind w:firstLine="0"/>
    </w:pPr>
  </w:style>
  <w:style w:type="paragraph" w:styleId="ListNumber3">
    <w:name w:val="List Number 3"/>
    <w:basedOn w:val="List3"/>
    <w:rsid w:val="00B1123B"/>
    <w:pPr>
      <w:numPr>
        <w:numId w:val="5"/>
      </w:numPr>
    </w:pPr>
  </w:style>
  <w:style w:type="paragraph" w:styleId="ListNumber4">
    <w:name w:val="List Number 4"/>
    <w:basedOn w:val="List4"/>
    <w:rsid w:val="00B1123B"/>
    <w:pPr>
      <w:numPr>
        <w:numId w:val="6"/>
      </w:numPr>
    </w:pPr>
  </w:style>
  <w:style w:type="paragraph" w:styleId="ListNumber5">
    <w:name w:val="List Number 5"/>
    <w:basedOn w:val="List5"/>
    <w:rsid w:val="00B1123B"/>
    <w:pPr>
      <w:numPr>
        <w:numId w:val="7"/>
      </w:numPr>
    </w:pPr>
  </w:style>
  <w:style w:type="paragraph" w:styleId="BlockText">
    <w:name w:val="Block Text"/>
    <w:basedOn w:val="Normal"/>
    <w:rsid w:val="00B112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2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23B"/>
    <w:rPr>
      <w:sz w:val="16"/>
      <w:vertAlign w:val="superscript"/>
    </w:rPr>
  </w:style>
  <w:style w:type="character" w:customStyle="1" w:styleId="Symbols">
    <w:name w:val="Symbols"/>
    <w:basedOn w:val="DefaultParagraphFont"/>
    <w:rsid w:val="00B1123B"/>
    <w:rPr>
      <w:rFonts w:ascii="Symbol" w:hAnsi="Symbol"/>
    </w:rPr>
  </w:style>
  <w:style w:type="character" w:customStyle="1" w:styleId="MenuOptions">
    <w:name w:val="Menu Options"/>
    <w:basedOn w:val="DefaultParagraphFont"/>
    <w:rsid w:val="00B112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23B"/>
    <w:rPr>
      <w:b/>
    </w:rPr>
  </w:style>
  <w:style w:type="character" w:customStyle="1" w:styleId="Underlined">
    <w:name w:val="Underlined"/>
    <w:basedOn w:val="DefaultParagraphFont"/>
    <w:rsid w:val="00B1123B"/>
    <w:rPr>
      <w:u w:val="single"/>
    </w:rPr>
  </w:style>
  <w:style w:type="paragraph" w:customStyle="1" w:styleId="TableBodyTextRight">
    <w:name w:val="Table Body Text Right"/>
    <w:basedOn w:val="TableBodyText"/>
    <w:rsid w:val="00B112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23B"/>
    <w:rPr>
      <w:sz w:val="18"/>
    </w:rPr>
  </w:style>
  <w:style w:type="paragraph" w:customStyle="1" w:styleId="BodySmallRight">
    <w:name w:val="Body Small Right"/>
    <w:basedOn w:val="BodyTextRight"/>
    <w:rsid w:val="00B1123B"/>
    <w:rPr>
      <w:sz w:val="18"/>
      <w:szCs w:val="18"/>
    </w:rPr>
  </w:style>
  <w:style w:type="paragraph" w:customStyle="1" w:styleId="MarginEdition">
    <w:name w:val="Margin Edition"/>
    <w:basedOn w:val="MarginNote"/>
    <w:rsid w:val="00B112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23B"/>
    <w:rPr>
      <w:sz w:val="2"/>
      <w:szCs w:val="2"/>
    </w:rPr>
  </w:style>
  <w:style w:type="character" w:customStyle="1" w:styleId="Small">
    <w:name w:val="Small"/>
    <w:basedOn w:val="DefaultParagraphFont"/>
    <w:rsid w:val="00B1123B"/>
    <w:rPr>
      <w:sz w:val="16"/>
    </w:rPr>
  </w:style>
  <w:style w:type="paragraph" w:customStyle="1" w:styleId="WideTable">
    <w:name w:val="Wide Table"/>
    <w:basedOn w:val="Normal"/>
    <w:rsid w:val="00B112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23B"/>
  </w:style>
  <w:style w:type="paragraph" w:styleId="Quote">
    <w:name w:val="Quote"/>
    <w:basedOn w:val="Heading1"/>
    <w:link w:val="QuoteChar"/>
    <w:qFormat/>
    <w:rsid w:val="00B112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2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23B"/>
    <w:pPr>
      <w:pageBreakBefore/>
    </w:pPr>
  </w:style>
  <w:style w:type="paragraph" w:customStyle="1" w:styleId="Border">
    <w:name w:val="Border"/>
    <w:basedOn w:val="Normal"/>
    <w:qFormat/>
    <w:rsid w:val="00B112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2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2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2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2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2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2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2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2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23B"/>
    <w:rPr>
      <w:u w:val="single"/>
    </w:rPr>
  </w:style>
  <w:style w:type="character" w:customStyle="1" w:styleId="BoldandItalics">
    <w:name w:val="Bold and Italics"/>
    <w:qFormat/>
    <w:rsid w:val="00B1123B"/>
    <w:rPr>
      <w:b/>
      <w:i/>
      <w:u w:val="none"/>
    </w:rPr>
  </w:style>
  <w:style w:type="paragraph" w:styleId="BalloonText">
    <w:name w:val="Balloon Text"/>
    <w:basedOn w:val="Normal"/>
    <w:link w:val="BalloonTextChar"/>
    <w:rsid w:val="00B11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2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2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2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2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2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2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28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3216</Characters>
  <Application>Microsoft Office Word</Application>
  <DocSecurity>0</DocSecurity>
  <Lines>80</Lines>
  <Paragraphs>63</Paragraphs>
  <ScaleCrop>false</ScaleCrop>
  <Company>Author-it Software Corporation Ltd.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CPCCCO3048 Construct tilt panels on site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2019-01-17T03:16:00Z</dcterms:created>
  <dcterms:modified xsi:type="dcterms:W3CDTF">2019-01-17T03:16:00Z</dcterms:modified>
</cp:coreProperties>
</file>