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472" w:rsidP="00A504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CPCCCO3035 Assess and specify concrete supply requirements</w:t>
      </w:r>
      <w:r>
        <w:fldChar w:fldCharType="end"/>
      </w:r>
    </w:p>
    <w:p w:rsidR="00A50472" w:rsidP="00A50472">
      <w:pPr>
        <w:pStyle w:val="Version"/>
        <w:sectPr w:rsidSect="00533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86E" w:rsidP="0053386E">
      <w:pPr>
        <w:pStyle w:val="SuperHeading"/>
      </w:pPr>
      <w:r w:rsidRPr="0053386E">
        <w:t>Assessment Requirements for CPCCCO3035 Assess and specify concrete supply requirements</w:t>
      </w:r>
    </w:p>
    <w:p w:rsidR="00000000" w:rsidRPr="0053386E" w:rsidP="0053386E">
      <w:pPr>
        <w:pStyle w:val="Heading1"/>
      </w:pPr>
      <w:bookmarkStart w:id="1" w:name="O_1013800"/>
      <w:bookmarkEnd w:id="1"/>
      <w:r w:rsidRPr="0053386E">
        <w:t>Modification History</w:t>
      </w:r>
    </w:p>
    <w:p w:rsidR="00000000" w:rsidRPr="0053386E" w:rsidP="00A50472">
      <w:pPr>
        <w:pStyle w:val="BodyText"/>
      </w:pPr>
      <w:r w:rsidRPr="0053386E">
        <w:t>Release 1.</w:t>
      </w:r>
    </w:p>
    <w:p w:rsidR="00000000" w:rsidRPr="0053386E" w:rsidP="00A50472">
      <w:pPr>
        <w:pStyle w:val="BodyText"/>
      </w:pPr>
      <w:r w:rsidRPr="0053386E">
        <w:t xml:space="preserve">Supersedes and equivalent to CPCCCO3035A Assess and specify concrete supply requirements. </w:t>
      </w:r>
    </w:p>
    <w:p w:rsidR="00000000" w:rsidRPr="0053386E" w:rsidP="00A50472">
      <w:pPr>
        <w:pStyle w:val="BodyText"/>
      </w:pPr>
      <w:r w:rsidRPr="0053386E">
        <w:t>The unit of competency was updated to the Standards for Training Packages 2012.</w:t>
      </w:r>
    </w:p>
    <w:p w:rsidR="00000000" w:rsidRPr="0053386E" w:rsidP="00A50472">
      <w:pPr>
        <w:pStyle w:val="BodyText"/>
      </w:pPr>
      <w:r w:rsidRPr="0053386E">
        <w:t>This version first released with CPC Construction, Plumbing and Services Training Package Version 4.0.</w:t>
      </w:r>
    </w:p>
    <w:p w:rsidR="00000000" w:rsidRPr="0053386E" w:rsidP="0053386E">
      <w:pPr>
        <w:pStyle w:val="Heading1"/>
      </w:pPr>
      <w:bookmarkStart w:id="2" w:name="O_1013803"/>
      <w:bookmarkEnd w:id="2"/>
      <w:r w:rsidRPr="0053386E">
        <w:t>Performance Evidence</w:t>
      </w:r>
    </w:p>
    <w:p w:rsidR="00000000" w:rsidRPr="0053386E" w:rsidP="00A50472">
      <w:pPr>
        <w:pStyle w:val="BodyText"/>
      </w:pPr>
      <w:r w:rsidRPr="0053386E">
        <w:t>To demonstrate competency in this</w:t>
      </w:r>
      <w:r w:rsidRPr="0053386E">
        <w:t xml:space="preserve"> unit, a person must assess and specify concrete supply requirements for three different types of concreting projects, including a multi-storey building.</w:t>
      </w:r>
    </w:p>
    <w:p w:rsidR="00000000" w:rsidRPr="0053386E" w:rsidP="00A50472">
      <w:pPr>
        <w:pStyle w:val="BodyText"/>
      </w:pPr>
      <w:r w:rsidRPr="0053386E">
        <w:t>In doing this, the person must meet the performance criteria for this unit.</w:t>
      </w:r>
    </w:p>
    <w:p w:rsidR="00000000" w:rsidRPr="0053386E" w:rsidP="0053386E">
      <w:pPr>
        <w:pStyle w:val="Heading1"/>
      </w:pPr>
      <w:bookmarkStart w:id="3" w:name="O_1013802"/>
      <w:bookmarkEnd w:id="3"/>
      <w:r w:rsidRPr="0053386E">
        <w:t>Knowled</w:t>
      </w:r>
      <w:r w:rsidRPr="0053386E">
        <w:t>ge Evidence</w:t>
      </w:r>
    </w:p>
    <w:p w:rsidR="00000000" w:rsidRPr="0053386E" w:rsidP="00A50472">
      <w:pPr>
        <w:pStyle w:val="BodyText"/>
      </w:pPr>
      <w:r w:rsidRPr="0053386E">
        <w:t xml:space="preserve">To be competent in this unit, a person must demonstrate knowledge of: </w:t>
      </w:r>
    </w:p>
    <w:p w:rsidR="00000000" w:rsidRPr="0053386E" w:rsidP="0053386E">
      <w:pPr>
        <w:pStyle w:val="ListBullet"/>
      </w:pPr>
      <w:r w:rsidRPr="0053386E">
        <w:t>jurisdictional work health and safety (WHS) and environmental legislation and regulations relating to assessing and specifying concrete supply requirements</w:t>
      </w:r>
    </w:p>
    <w:p w:rsidR="00000000" w:rsidRPr="0053386E" w:rsidP="0053386E">
      <w:pPr>
        <w:pStyle w:val="ListBullet"/>
      </w:pPr>
      <w:r w:rsidRPr="0053386E">
        <w:t xml:space="preserve">requirements of </w:t>
      </w:r>
      <w:r w:rsidRPr="0053386E">
        <w:t>Australian Standards (AS) and the National Construction Code (NCC) relating to assessing and specifying concrete supply requirements</w:t>
      </w:r>
    </w:p>
    <w:p w:rsidR="00000000" w:rsidRPr="0053386E" w:rsidP="0053386E">
      <w:pPr>
        <w:pStyle w:val="ListBullet"/>
      </w:pPr>
      <w:r w:rsidRPr="0053386E">
        <w:t>workplace requirements for all aspects of assessing and specifying concrete supply requirements including interpreting work</w:t>
      </w:r>
      <w:r w:rsidRPr="0053386E">
        <w:t xml:space="preserve"> orders and reporting problems</w:t>
      </w:r>
    </w:p>
    <w:p w:rsidR="00000000" w:rsidRPr="0053386E" w:rsidP="0053386E">
      <w:pPr>
        <w:pStyle w:val="ListBullet"/>
      </w:pPr>
      <w:r w:rsidRPr="0053386E">
        <w:t>relevant AS, including:</w:t>
      </w:r>
    </w:p>
    <w:p w:rsidR="00000000" w:rsidRPr="0053386E" w:rsidP="0053386E">
      <w:pPr>
        <w:pStyle w:val="ListBullet2"/>
      </w:pPr>
      <w:r w:rsidRPr="0053386E">
        <w:t>AS 1379 Specification and supply of concrete</w:t>
      </w:r>
    </w:p>
    <w:p w:rsidR="00000000" w:rsidRPr="0053386E" w:rsidP="0053386E">
      <w:pPr>
        <w:pStyle w:val="ListBullet2"/>
      </w:pPr>
      <w:r w:rsidRPr="0053386E">
        <w:t>AS 2758 Aggregates and rock for engineering purposes</w:t>
      </w:r>
    </w:p>
    <w:p w:rsidR="00000000" w:rsidRPr="0053386E" w:rsidP="0053386E">
      <w:pPr>
        <w:pStyle w:val="ListBullet2"/>
      </w:pPr>
      <w:r w:rsidRPr="0053386E">
        <w:t>AS 3600 Concrete structures</w:t>
      </w:r>
    </w:p>
    <w:p w:rsidR="00000000" w:rsidRPr="0053386E" w:rsidP="0053386E">
      <w:pPr>
        <w:pStyle w:val="ListBullet2"/>
      </w:pPr>
      <w:r w:rsidRPr="0053386E">
        <w:t>AS 3972 Portland and blended cements</w:t>
      </w:r>
    </w:p>
    <w:p w:rsidR="00000000" w:rsidRPr="0053386E" w:rsidP="0053386E">
      <w:pPr>
        <w:pStyle w:val="ListBullet"/>
      </w:pPr>
      <w:r w:rsidRPr="0053386E">
        <w:t>concrete material, including:</w:t>
      </w:r>
    </w:p>
    <w:p w:rsidR="00000000" w:rsidRPr="0053386E" w:rsidP="0053386E">
      <w:pPr>
        <w:pStyle w:val="ListBullet2"/>
      </w:pPr>
      <w:r w:rsidRPr="0053386E">
        <w:t>normal class with strength grades in the range N20 to N50</w:t>
      </w:r>
    </w:p>
    <w:p w:rsidR="00000000" w:rsidRPr="0053386E" w:rsidP="0053386E">
      <w:pPr>
        <w:pStyle w:val="ListBullet2"/>
      </w:pPr>
      <w:r w:rsidRPr="0053386E">
        <w:t>special class with strength grades in the range S20 to S100</w:t>
      </w:r>
    </w:p>
    <w:p w:rsidR="00000000" w:rsidRPr="0053386E" w:rsidP="0053386E">
      <w:pPr>
        <w:pStyle w:val="ListBullet"/>
      </w:pPr>
      <w:r w:rsidRPr="0053386E">
        <w:t>concrete composition, including types and application of:</w:t>
      </w:r>
    </w:p>
    <w:p w:rsidR="00000000" w:rsidRPr="0053386E" w:rsidP="0053386E">
      <w:pPr>
        <w:pStyle w:val="ListBullet2"/>
      </w:pPr>
      <w:r w:rsidRPr="0053386E">
        <w:t>cement</w:t>
      </w:r>
    </w:p>
    <w:p w:rsidR="00000000" w:rsidRPr="0053386E" w:rsidP="0053386E">
      <w:pPr>
        <w:pStyle w:val="ListBullet2"/>
      </w:pPr>
      <w:r w:rsidRPr="0053386E">
        <w:t>aggregate</w:t>
      </w:r>
    </w:p>
    <w:p w:rsidR="00000000" w:rsidRPr="0053386E" w:rsidP="0053386E">
      <w:pPr>
        <w:pStyle w:val="ListBullet2"/>
      </w:pPr>
      <w:r w:rsidRPr="0053386E">
        <w:t>additives</w:t>
      </w:r>
    </w:p>
    <w:p w:rsidR="00000000" w:rsidRPr="0053386E" w:rsidP="0053386E">
      <w:pPr>
        <w:pStyle w:val="ListBullet"/>
      </w:pPr>
      <w:r w:rsidRPr="0053386E">
        <w:t>concrete specifications, including:</w:t>
      </w:r>
    </w:p>
    <w:p w:rsidR="00000000" w:rsidRPr="0053386E" w:rsidP="0053386E">
      <w:pPr>
        <w:pStyle w:val="ListBullet4"/>
      </w:pPr>
      <w:r w:rsidRPr="0053386E">
        <w:t>required temp</w:t>
      </w:r>
      <w:r w:rsidRPr="0053386E">
        <w:t>erature of concrete</w:t>
      </w:r>
    </w:p>
    <w:p w:rsidR="00000000" w:rsidRPr="0053386E" w:rsidP="0053386E">
      <w:pPr>
        <w:pStyle w:val="ListBullet2"/>
      </w:pPr>
      <w:r w:rsidRPr="0053386E">
        <w:t>slump-test measurement, including:</w:t>
      </w:r>
    </w:p>
    <w:p w:rsidR="00000000" w:rsidRPr="0053386E" w:rsidP="0053386E">
      <w:pPr>
        <w:pStyle w:val="ListBullet3"/>
      </w:pPr>
      <w:r w:rsidRPr="0053386E">
        <w:t>fit for purpose:</w:t>
      </w:r>
    </w:p>
    <w:p w:rsidR="00000000" w:rsidRPr="0053386E" w:rsidP="0053386E">
      <w:pPr>
        <w:pStyle w:val="ListBullet4"/>
      </w:pPr>
      <w:r w:rsidRPr="0053386E">
        <w:t xml:space="preserve">ramp or slope </w:t>
      </w:r>
    </w:p>
    <w:p w:rsidR="00000000" w:rsidRPr="0053386E" w:rsidP="0053386E">
      <w:pPr>
        <w:pStyle w:val="ListBullet4"/>
      </w:pPr>
      <w:r w:rsidRPr="0053386E">
        <w:t>slab</w:t>
      </w:r>
    </w:p>
    <w:p w:rsidR="00000000" w:rsidRPr="0053386E" w:rsidP="0053386E">
      <w:pPr>
        <w:pStyle w:val="ListBullet2"/>
      </w:pPr>
      <w:r w:rsidRPr="0053386E">
        <w:t>consistency with:</w:t>
      </w:r>
    </w:p>
    <w:p w:rsidR="00000000" w:rsidRPr="0053386E" w:rsidP="0053386E">
      <w:pPr>
        <w:pStyle w:val="ListBullet3"/>
      </w:pPr>
      <w:r w:rsidRPr="0053386E">
        <w:t>formwork</w:t>
      </w:r>
    </w:p>
    <w:p w:rsidR="00000000" w:rsidRPr="0053386E" w:rsidP="0053386E">
      <w:pPr>
        <w:pStyle w:val="ListBullet3"/>
      </w:pPr>
      <w:r w:rsidRPr="0053386E">
        <w:t>placement method</w:t>
      </w:r>
    </w:p>
    <w:p w:rsidR="00000000" w:rsidRPr="0053386E" w:rsidP="0053386E">
      <w:pPr>
        <w:pStyle w:val="ListBullet"/>
      </w:pPr>
      <w:r w:rsidRPr="0053386E">
        <w:t>processes for reviewing project plans and specifications to determine project concrete requirements</w:t>
      </w:r>
    </w:p>
    <w:p w:rsidR="00000000" w:rsidRPr="0053386E" w:rsidP="0053386E">
      <w:pPr>
        <w:pStyle w:val="ListBullet"/>
      </w:pPr>
      <w:r w:rsidRPr="0053386E">
        <w:t>delivery methods and their effect on the concrete material properties</w:t>
      </w:r>
    </w:p>
    <w:p w:rsidR="00000000" w:rsidRPr="0053386E" w:rsidP="0053386E">
      <w:pPr>
        <w:pStyle w:val="ListBullet"/>
      </w:pPr>
      <w:r w:rsidRPr="0053386E">
        <w:t>interpreting concrete specifications, including:</w:t>
      </w:r>
    </w:p>
    <w:p w:rsidR="00000000" w:rsidRPr="0053386E" w:rsidP="0053386E">
      <w:pPr>
        <w:pStyle w:val="ListBullet2"/>
      </w:pPr>
      <w:r w:rsidRPr="0053386E">
        <w:t>MPa</w:t>
      </w:r>
    </w:p>
    <w:p w:rsidR="00000000" w:rsidRPr="0053386E" w:rsidP="0053386E">
      <w:pPr>
        <w:pStyle w:val="ListBullet2"/>
      </w:pPr>
      <w:r w:rsidRPr="0053386E">
        <w:t>additives</w:t>
      </w:r>
    </w:p>
    <w:p w:rsidR="00000000" w:rsidRPr="0053386E" w:rsidP="0053386E">
      <w:pPr>
        <w:pStyle w:val="ListBullet2"/>
      </w:pPr>
      <w:r w:rsidRPr="0053386E">
        <w:t>material properties at time of site delivery</w:t>
      </w:r>
    </w:p>
    <w:p w:rsidR="00000000" w:rsidRPr="0053386E" w:rsidP="0053386E">
      <w:pPr>
        <w:pStyle w:val="ListBullet"/>
      </w:pPr>
      <w:r w:rsidRPr="0053386E">
        <w:t>takeoff and costing methods relative to project concrete materials</w:t>
      </w:r>
    </w:p>
    <w:p w:rsidR="00000000" w:rsidRPr="0053386E" w:rsidP="0053386E">
      <w:pPr>
        <w:pStyle w:val="ListBullet"/>
      </w:pPr>
      <w:r w:rsidRPr="0053386E">
        <w:t>methods of developing material delivery schedules, including:</w:t>
      </w:r>
    </w:p>
    <w:p w:rsidR="00000000" w:rsidRPr="0053386E" w:rsidP="0053386E">
      <w:pPr>
        <w:pStyle w:val="ListBullet2"/>
      </w:pPr>
      <w:r w:rsidRPr="0053386E">
        <w:t>time of delivery</w:t>
      </w:r>
    </w:p>
    <w:p w:rsidR="00000000" w:rsidRPr="0053386E" w:rsidP="0053386E">
      <w:pPr>
        <w:pStyle w:val="ListBullet2"/>
      </w:pPr>
      <w:r w:rsidRPr="0053386E">
        <w:t>volume</w:t>
      </w:r>
    </w:p>
    <w:p w:rsidR="00000000" w:rsidRPr="0053386E" w:rsidP="0053386E">
      <w:pPr>
        <w:pStyle w:val="ListBullet2"/>
      </w:pPr>
      <w:r w:rsidRPr="0053386E">
        <w:t>MPa</w:t>
      </w:r>
    </w:p>
    <w:p w:rsidR="00000000" w:rsidRPr="0053386E" w:rsidP="0053386E">
      <w:pPr>
        <w:pStyle w:val="ListBullet2"/>
      </w:pPr>
      <w:r w:rsidRPr="0053386E">
        <w:t>additives</w:t>
      </w:r>
    </w:p>
    <w:p w:rsidR="00000000" w:rsidRPr="0053386E" w:rsidP="0053386E">
      <w:pPr>
        <w:pStyle w:val="ListBullet2"/>
      </w:pPr>
      <w:r w:rsidRPr="0053386E">
        <w:t>site access point</w:t>
      </w:r>
    </w:p>
    <w:p w:rsidR="00000000" w:rsidRPr="0053386E" w:rsidP="0053386E">
      <w:pPr>
        <w:pStyle w:val="ListBullet"/>
      </w:pPr>
      <w:r w:rsidRPr="0053386E">
        <w:t>methods of specifying and placing orders for concrete materials.</w:t>
      </w:r>
    </w:p>
    <w:p w:rsidR="00000000" w:rsidRPr="0053386E" w:rsidP="0053386E">
      <w:pPr>
        <w:pStyle w:val="AllowPageBreak"/>
      </w:pPr>
    </w:p>
    <w:p w:rsidR="00000000" w:rsidRPr="0053386E" w:rsidP="0053386E">
      <w:pPr>
        <w:pStyle w:val="Heading1"/>
      </w:pPr>
      <w:bookmarkStart w:id="4" w:name="O_1013801"/>
      <w:bookmarkEnd w:id="4"/>
      <w:r w:rsidRPr="0053386E">
        <w:t>Assessment Conditions</w:t>
      </w:r>
    </w:p>
    <w:p w:rsidR="00000000" w:rsidRPr="0053386E" w:rsidP="00A50472">
      <w:pPr>
        <w:pStyle w:val="BodyText"/>
      </w:pPr>
      <w:r w:rsidRPr="0053386E">
        <w:t>Assessors must satisfy the req</w:t>
      </w:r>
      <w:r w:rsidRPr="0053386E">
        <w:t xml:space="preserve">uirements for assessors contained in the Standards for Registered Training Organisations. </w:t>
      </w:r>
    </w:p>
    <w:p w:rsidR="00000000" w:rsidRPr="0053386E" w:rsidP="00A50472">
      <w:pPr>
        <w:pStyle w:val="BodyText"/>
      </w:pPr>
      <w:r w:rsidRPr="0053386E">
        <w:t>Assessment of performance must be undertaken in the workplace or in a simulated workplace environment. Tasks are to be performed to the level of proficiency and with</w:t>
      </w:r>
      <w:r w:rsidRPr="0053386E">
        <w:t xml:space="preserve">in the time limits expected in a workplace. </w:t>
      </w:r>
    </w:p>
    <w:p w:rsidR="00000000" w:rsidRPr="0053386E" w:rsidP="00A50472">
      <w:pPr>
        <w:pStyle w:val="BodyText"/>
      </w:pPr>
      <w:r w:rsidRPr="0053386E">
        <w:t>Assessors are responsible for ensuring that the person demonstrating competency has access to:</w:t>
      </w:r>
    </w:p>
    <w:p w:rsidR="00000000" w:rsidRPr="0053386E" w:rsidP="0053386E">
      <w:pPr>
        <w:pStyle w:val="ListBullet"/>
      </w:pPr>
      <w:r w:rsidRPr="0053386E">
        <w:t>work sites and specifications for concreting tasks, including a multi-storey building</w:t>
      </w:r>
    </w:p>
    <w:p w:rsidR="00000000" w:rsidRPr="0053386E" w:rsidP="0053386E">
      <w:pPr>
        <w:pStyle w:val="ListBullet"/>
      </w:pPr>
      <w:r w:rsidRPr="0053386E">
        <w:t>appropriate documents, materials, tools, equipment and personal protective equipment currently used in industry</w:t>
      </w:r>
    </w:p>
    <w:p w:rsidR="00000000" w:rsidRPr="0053386E" w:rsidP="0053386E">
      <w:pPr>
        <w:pStyle w:val="ListBullet"/>
      </w:pPr>
      <w:r w:rsidRPr="0053386E">
        <w:t>computer, software, printer and internet connection</w:t>
      </w:r>
    </w:p>
    <w:p w:rsidR="00000000" w:rsidRPr="0053386E" w:rsidP="0053386E">
      <w:pPr>
        <w:pStyle w:val="ListBullet"/>
      </w:pPr>
      <w:r w:rsidRPr="0053386E">
        <w:t>requirements of appropriate sections of legislation and regulations</w:t>
      </w:r>
    </w:p>
    <w:p w:rsidR="00A50472" w:rsidP="0053386E">
      <w:pPr>
        <w:pStyle w:val="ListBullet"/>
      </w:pPr>
      <w:r w:rsidRPr="0053386E">
        <w:t>relevant workplace polic</w:t>
      </w:r>
      <w:r w:rsidRPr="0053386E">
        <w:t>ies and procedures.</w:t>
      </w:r>
    </w:p>
    <w:p w:rsidR="00A50472" w:rsidP="0053386E">
      <w:pPr>
        <w:pStyle w:val="ListBullet"/>
      </w:pPr>
    </w:p>
    <w:p w:rsidR="00000000" w:rsidRPr="0053386E" w:rsidP="0053386E">
      <w:pPr>
        <w:pStyle w:val="Heading1"/>
      </w:pPr>
      <w:bookmarkStart w:id="5" w:name="O_1013799"/>
      <w:bookmarkEnd w:id="5"/>
      <w:r w:rsidRPr="0053386E">
        <w:t>Links</w:t>
      </w:r>
    </w:p>
    <w:p w:rsidR="00000000" w:rsidRPr="0053386E" w:rsidP="00A50472">
      <w:pPr>
        <w:pStyle w:val="BodyText"/>
      </w:pPr>
      <w:r w:rsidRPr="0053386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894FFE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53386E" w:rsidP="0053386E"/>
    <w:sectPr w:rsidSect="005338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6E" w:rsidRPr="00A50472" w:rsidP="00A504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472" w:rsidP="00533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472" w:rsidP="00533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50472" w:rsidP="00533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4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86E" w:rsidRPr="00A50472" w:rsidP="00A504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472" w:rsidRPr="002D2AF8" w:rsidP="00533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CPCCCO3035 Assess and specify concrete supply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A50472" w:rsidP="00533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2232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C4B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0C04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13"/>
  </w:num>
  <w:num w:numId="14">
    <w:abstractNumId w:val="9"/>
  </w:num>
  <w:num w:numId="15">
    <w:abstractNumId w:val="12"/>
  </w:num>
  <w:num w:numId="16">
    <w:abstractNumId w:val="10"/>
  </w:num>
  <w:num w:numId="17">
    <w:abstractNumId w:val="5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86E"/>
  </w:style>
  <w:style w:type="character" w:customStyle="1" w:styleId="Heading1Char">
    <w:name w:val="Heading 1 Char"/>
    <w:basedOn w:val="DefaultParagraphFont"/>
    <w:link w:val="Heading1"/>
    <w:rsid w:val="00533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8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86E"/>
    <w:pPr>
      <w:numPr>
        <w:numId w:val="15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386E"/>
    <w:pPr>
      <w:numPr>
        <w:numId w:val="16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3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386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86E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533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8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386E"/>
    <w:rPr>
      <w:b/>
      <w:spacing w:val="0"/>
    </w:rPr>
  </w:style>
  <w:style w:type="paragraph" w:customStyle="1" w:styleId="SuperTitle">
    <w:name w:val="SuperTitle"/>
    <w:basedOn w:val="Title"/>
    <w:rsid w:val="00533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8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86E"/>
    <w:rPr>
      <w:i/>
    </w:rPr>
  </w:style>
  <w:style w:type="paragraph" w:styleId="Caption">
    <w:name w:val="caption"/>
    <w:basedOn w:val="BodyText"/>
    <w:next w:val="Normal"/>
    <w:qFormat/>
    <w:rsid w:val="00533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86E"/>
  </w:style>
  <w:style w:type="paragraph" w:styleId="TableofFigures">
    <w:name w:val="table of figures"/>
    <w:basedOn w:val="Normal"/>
    <w:next w:val="Normal"/>
    <w:semiHidden/>
    <w:rsid w:val="00533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86E"/>
    <w:pPr>
      <w:numPr>
        <w:numId w:val="13"/>
      </w:numPr>
    </w:pPr>
  </w:style>
  <w:style w:type="character" w:customStyle="1" w:styleId="WingdingSymbols">
    <w:name w:val="Wingding Symbols"/>
    <w:rsid w:val="0053386E"/>
    <w:rPr>
      <w:rFonts w:ascii="Wingdings" w:hAnsi="Wingdings"/>
    </w:rPr>
  </w:style>
  <w:style w:type="paragraph" w:customStyle="1" w:styleId="TableHeading">
    <w:name w:val="Table Heading"/>
    <w:basedOn w:val="HeadingBase"/>
    <w:rsid w:val="00533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86E"/>
    <w:rPr>
      <w:color w:val="0033CC"/>
      <w:u w:val="none"/>
    </w:rPr>
  </w:style>
  <w:style w:type="paragraph" w:customStyle="1" w:styleId="BodyTextRight">
    <w:name w:val="Body Text Right"/>
    <w:basedOn w:val="BodyText"/>
    <w:rsid w:val="00533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86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86E"/>
    <w:rPr>
      <w:sz w:val="32"/>
    </w:rPr>
  </w:style>
  <w:style w:type="paragraph" w:customStyle="1" w:styleId="HeadingProcedure">
    <w:name w:val="Heading Procedure"/>
    <w:basedOn w:val="HeadingBase"/>
    <w:next w:val="Normal"/>
    <w:rsid w:val="00533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86E"/>
    <w:pPr>
      <w:spacing w:before="60" w:after="60"/>
    </w:pPr>
  </w:style>
  <w:style w:type="paragraph" w:styleId="ListContinue">
    <w:name w:val="List Continue"/>
    <w:basedOn w:val="List"/>
    <w:rsid w:val="0053386E"/>
    <w:pPr>
      <w:ind w:firstLine="0"/>
    </w:pPr>
  </w:style>
  <w:style w:type="paragraph" w:customStyle="1" w:styleId="ListNote">
    <w:name w:val="List Note"/>
    <w:basedOn w:val="List"/>
    <w:rsid w:val="00533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86E"/>
    <w:rPr>
      <w:rFonts w:ascii="Courier New" w:hAnsi="Courier New"/>
    </w:rPr>
  </w:style>
  <w:style w:type="paragraph" w:customStyle="1" w:styleId="NoteBullet">
    <w:name w:val="Note Bullet"/>
    <w:basedOn w:val="Note"/>
    <w:rsid w:val="00533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86E"/>
    <w:pPr>
      <w:numPr>
        <w:numId w:val="14"/>
      </w:numPr>
    </w:pPr>
  </w:style>
  <w:style w:type="paragraph" w:styleId="PlainText">
    <w:name w:val="Plain Text"/>
    <w:basedOn w:val="Normal"/>
    <w:link w:val="PlainTextChar"/>
    <w:rsid w:val="00533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86E"/>
    <w:rPr>
      <w:b/>
      <w:smallCaps/>
    </w:rPr>
  </w:style>
  <w:style w:type="paragraph" w:customStyle="1" w:styleId="TableListNumber">
    <w:name w:val="Table List Number"/>
    <w:basedOn w:val="ListNumber"/>
    <w:rsid w:val="00533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86E"/>
    <w:pPr>
      <w:numPr>
        <w:numId w:val="11"/>
      </w:numPr>
    </w:pPr>
  </w:style>
  <w:style w:type="paragraph" w:customStyle="1" w:styleId="ListAlpha2">
    <w:name w:val="List Alpha 2"/>
    <w:basedOn w:val="List2"/>
    <w:rsid w:val="0053386E"/>
    <w:pPr>
      <w:numPr>
        <w:numId w:val="10"/>
      </w:numPr>
    </w:pPr>
  </w:style>
  <w:style w:type="paragraph" w:styleId="List2">
    <w:name w:val="List 2"/>
    <w:basedOn w:val="BodyText"/>
    <w:rsid w:val="00533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86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53386E"/>
    <w:pPr>
      <w:numPr>
        <w:numId w:val="6"/>
      </w:numPr>
    </w:pPr>
  </w:style>
  <w:style w:type="paragraph" w:styleId="ListContinue2">
    <w:name w:val="List Continue 2"/>
    <w:basedOn w:val="List2"/>
    <w:rsid w:val="0053386E"/>
    <w:pPr>
      <w:ind w:firstLine="0"/>
    </w:pPr>
  </w:style>
  <w:style w:type="paragraph" w:styleId="ListContinue3">
    <w:name w:val="List Continue 3"/>
    <w:basedOn w:val="List3"/>
    <w:rsid w:val="0053386E"/>
    <w:pPr>
      <w:ind w:left="1021" w:firstLine="0"/>
    </w:pPr>
  </w:style>
  <w:style w:type="paragraph" w:styleId="ListContinue4">
    <w:name w:val="List Continue 4"/>
    <w:basedOn w:val="List4"/>
    <w:rsid w:val="0053386E"/>
    <w:pPr>
      <w:ind w:firstLine="0"/>
    </w:pPr>
  </w:style>
  <w:style w:type="paragraph" w:styleId="ListContinue5">
    <w:name w:val="List Continue 5"/>
    <w:basedOn w:val="List5"/>
    <w:rsid w:val="0053386E"/>
    <w:pPr>
      <w:ind w:firstLine="0"/>
    </w:pPr>
  </w:style>
  <w:style w:type="paragraph" w:styleId="ListNumber3">
    <w:name w:val="List Number 3"/>
    <w:basedOn w:val="List3"/>
    <w:rsid w:val="0053386E"/>
    <w:pPr>
      <w:numPr>
        <w:numId w:val="7"/>
      </w:numPr>
    </w:pPr>
  </w:style>
  <w:style w:type="paragraph" w:styleId="ListNumber4">
    <w:name w:val="List Number 4"/>
    <w:basedOn w:val="List4"/>
    <w:rsid w:val="0053386E"/>
    <w:pPr>
      <w:numPr>
        <w:numId w:val="8"/>
      </w:numPr>
    </w:pPr>
  </w:style>
  <w:style w:type="paragraph" w:styleId="ListNumber5">
    <w:name w:val="List Number 5"/>
    <w:basedOn w:val="List5"/>
    <w:rsid w:val="0053386E"/>
    <w:pPr>
      <w:numPr>
        <w:numId w:val="9"/>
      </w:numPr>
    </w:pPr>
  </w:style>
  <w:style w:type="paragraph" w:styleId="BlockText">
    <w:name w:val="Block Text"/>
    <w:basedOn w:val="Normal"/>
    <w:rsid w:val="00533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86E"/>
    <w:rPr>
      <w:sz w:val="16"/>
      <w:vertAlign w:val="superscript"/>
    </w:rPr>
  </w:style>
  <w:style w:type="character" w:customStyle="1" w:styleId="Symbols">
    <w:name w:val="Symbols"/>
    <w:basedOn w:val="DefaultParagraphFont"/>
    <w:rsid w:val="0053386E"/>
    <w:rPr>
      <w:rFonts w:ascii="Symbol" w:hAnsi="Symbol"/>
    </w:rPr>
  </w:style>
  <w:style w:type="character" w:customStyle="1" w:styleId="MenuOptions">
    <w:name w:val="Menu Options"/>
    <w:basedOn w:val="DefaultParagraphFont"/>
    <w:rsid w:val="00533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86E"/>
    <w:rPr>
      <w:b/>
    </w:rPr>
  </w:style>
  <w:style w:type="character" w:customStyle="1" w:styleId="Underlined">
    <w:name w:val="Underlined"/>
    <w:basedOn w:val="DefaultParagraphFont"/>
    <w:rsid w:val="0053386E"/>
    <w:rPr>
      <w:u w:val="single"/>
    </w:rPr>
  </w:style>
  <w:style w:type="paragraph" w:customStyle="1" w:styleId="TableBodyTextRight">
    <w:name w:val="Table Body Text Right"/>
    <w:basedOn w:val="TableBodyText"/>
    <w:rsid w:val="00533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86E"/>
    <w:rPr>
      <w:sz w:val="18"/>
    </w:rPr>
  </w:style>
  <w:style w:type="paragraph" w:customStyle="1" w:styleId="BodySmallRight">
    <w:name w:val="Body Small Right"/>
    <w:basedOn w:val="BodyTextRight"/>
    <w:rsid w:val="0053386E"/>
    <w:rPr>
      <w:sz w:val="18"/>
      <w:szCs w:val="18"/>
    </w:rPr>
  </w:style>
  <w:style w:type="paragraph" w:customStyle="1" w:styleId="MarginEdition">
    <w:name w:val="Margin Edition"/>
    <w:basedOn w:val="MarginNote"/>
    <w:rsid w:val="00533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86E"/>
    <w:rPr>
      <w:sz w:val="2"/>
      <w:szCs w:val="2"/>
    </w:rPr>
  </w:style>
  <w:style w:type="character" w:customStyle="1" w:styleId="Small">
    <w:name w:val="Small"/>
    <w:basedOn w:val="DefaultParagraphFont"/>
    <w:rsid w:val="0053386E"/>
    <w:rPr>
      <w:sz w:val="16"/>
    </w:rPr>
  </w:style>
  <w:style w:type="paragraph" w:customStyle="1" w:styleId="WideTable">
    <w:name w:val="Wide Table"/>
    <w:basedOn w:val="Normal"/>
    <w:rsid w:val="00533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86E"/>
  </w:style>
  <w:style w:type="paragraph" w:styleId="Quote">
    <w:name w:val="Quote"/>
    <w:basedOn w:val="Heading1"/>
    <w:link w:val="QuoteChar"/>
    <w:qFormat/>
    <w:rsid w:val="00533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86E"/>
    <w:pPr>
      <w:pageBreakBefore/>
    </w:pPr>
  </w:style>
  <w:style w:type="paragraph" w:customStyle="1" w:styleId="Border">
    <w:name w:val="Border"/>
    <w:basedOn w:val="Normal"/>
    <w:qFormat/>
    <w:rsid w:val="00533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86E"/>
    <w:rPr>
      <w:u w:val="single"/>
    </w:rPr>
  </w:style>
  <w:style w:type="character" w:customStyle="1" w:styleId="BoldandItalics">
    <w:name w:val="Bold and Italics"/>
    <w:qFormat/>
    <w:rsid w:val="0053386E"/>
    <w:rPr>
      <w:b/>
      <w:i/>
      <w:u w:val="none"/>
    </w:rPr>
  </w:style>
  <w:style w:type="paragraph" w:styleId="BalloonText">
    <w:name w:val="Balloon Text"/>
    <w:basedOn w:val="Normal"/>
    <w:link w:val="BalloonTextChar"/>
    <w:rsid w:val="00533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8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04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3161</Characters>
  <Application>Microsoft Office Word</Application>
  <DocSecurity>0</DocSecurity>
  <Lines>90</Lines>
  <Paragraphs>74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CPCCCO3035 Assess and specify concrete supply requirements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2019-01-17T03:21:00Z</dcterms:created>
  <dcterms:modified xsi:type="dcterms:W3CDTF">2019-01-17T03:21:00Z</dcterms:modified>
</cp:coreProperties>
</file>