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7DC" w:rsidP="003B5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CPCCCO2021 Handle concreting materials</w:t>
      </w:r>
      <w:r>
        <w:fldChar w:fldCharType="end"/>
      </w:r>
    </w:p>
    <w:p w:rsidR="003B57DC" w:rsidP="003B57DC">
      <w:pPr>
        <w:pStyle w:val="Version"/>
        <w:sectPr w:rsidSect="00F01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1AB" w:rsidP="00F011AB">
      <w:pPr>
        <w:pStyle w:val="SuperHeading"/>
      </w:pPr>
      <w:r w:rsidRPr="00F011AB">
        <w:t>Assessment Requirements for CPCCCO2021 Handle concreting materials</w:t>
      </w:r>
    </w:p>
    <w:p w:rsidR="00000000" w:rsidRPr="00F011AB" w:rsidP="00F011AB">
      <w:pPr>
        <w:pStyle w:val="Heading1"/>
      </w:pPr>
      <w:bookmarkStart w:id="1" w:name="O_1013766"/>
      <w:bookmarkEnd w:id="1"/>
      <w:r w:rsidRPr="00F011AB">
        <w:t>Modification History</w:t>
      </w:r>
    </w:p>
    <w:p w:rsidR="00000000" w:rsidRPr="00F011AB" w:rsidP="003B57DC">
      <w:r w:rsidRPr="00F011AB">
        <w:t>Release 1.</w:t>
      </w:r>
    </w:p>
    <w:p w:rsidR="00000000" w:rsidRPr="00F011AB" w:rsidP="003B57DC">
      <w:r w:rsidRPr="00F011AB">
        <w:t>Supersedes and equivalent to CPCCCO2021A Handle concreting materials.</w:t>
      </w:r>
    </w:p>
    <w:p w:rsidR="00000000" w:rsidRPr="00F011AB" w:rsidP="003B57DC">
      <w:r w:rsidRPr="00F011AB">
        <w:t>The unit of competency was updated to the Standards for Training Packages 2012.</w:t>
      </w:r>
    </w:p>
    <w:p w:rsidR="00000000" w:rsidRPr="00F011AB" w:rsidP="003B57DC">
      <w:pPr>
        <w:pStyle w:val="BodyText"/>
      </w:pPr>
      <w:r w:rsidRPr="00F011AB">
        <w:t>This version first released with CPC Construction, Plumbing and Services Training Package Version 4.0.</w:t>
      </w:r>
    </w:p>
    <w:p w:rsidR="00000000" w:rsidRPr="00F011AB" w:rsidP="00F011AB">
      <w:pPr>
        <w:pStyle w:val="Heading1"/>
      </w:pPr>
      <w:bookmarkStart w:id="2" w:name="O_1013769"/>
      <w:bookmarkEnd w:id="2"/>
      <w:r w:rsidRPr="00F011AB">
        <w:t>Performance Evidence</w:t>
      </w:r>
    </w:p>
    <w:p w:rsidR="00000000" w:rsidRPr="00F011AB" w:rsidP="003B57DC">
      <w:pPr>
        <w:pStyle w:val="BodyText"/>
      </w:pPr>
      <w:r w:rsidRPr="00F011AB">
        <w:t>To demonstrate competency in this</w:t>
      </w:r>
      <w:r w:rsidRPr="00F011AB">
        <w:t xml:space="preserve"> unit, a person must handle concreting materials for tasks at three different concrete placement sites.</w:t>
      </w:r>
    </w:p>
    <w:p w:rsidR="00000000" w:rsidRPr="00F011AB" w:rsidP="003B57DC">
      <w:pPr>
        <w:pStyle w:val="BodyText"/>
      </w:pPr>
      <w:r w:rsidRPr="00F011AB">
        <w:t>In doing this, the person must meet the performance criteria for this unit.</w:t>
      </w:r>
    </w:p>
    <w:p w:rsidR="00000000" w:rsidRPr="00F011AB" w:rsidP="00F011AB">
      <w:pPr>
        <w:pStyle w:val="Heading1"/>
      </w:pPr>
      <w:bookmarkStart w:id="3" w:name="O_1013768"/>
      <w:bookmarkEnd w:id="3"/>
      <w:r w:rsidRPr="00F011AB">
        <w:t>Knowledge Evidence</w:t>
      </w:r>
    </w:p>
    <w:p w:rsidR="00000000" w:rsidRPr="00F011AB" w:rsidP="003B57DC">
      <w:pPr>
        <w:pStyle w:val="BodyText"/>
      </w:pPr>
      <w:r w:rsidRPr="00F011AB">
        <w:t>To be competent in this unit, a person</w:t>
      </w:r>
      <w:r w:rsidRPr="00F011AB">
        <w:t xml:space="preserve"> must demonstrate knowledge of: </w:t>
      </w:r>
    </w:p>
    <w:p w:rsidR="00000000" w:rsidRPr="00F011AB" w:rsidP="00F011AB">
      <w:pPr>
        <w:pStyle w:val="ListBullet"/>
      </w:pPr>
      <w:r w:rsidRPr="00F011AB">
        <w:t>jurisdictional work health and safety (WHS) and environmental legislation and regulations relating to handling concreting materials, including:</w:t>
      </w:r>
    </w:p>
    <w:p w:rsidR="00000000" w:rsidRPr="00F011AB" w:rsidP="00F011AB">
      <w:pPr>
        <w:pStyle w:val="ListBullet2"/>
      </w:pPr>
      <w:r w:rsidRPr="00F011AB">
        <w:t xml:space="preserve">job safety analyses (JSAs) </w:t>
      </w:r>
    </w:p>
    <w:p w:rsidR="00000000" w:rsidRPr="00F011AB" w:rsidP="00F011AB">
      <w:pPr>
        <w:pStyle w:val="ListBullet2"/>
      </w:pPr>
      <w:r w:rsidRPr="00F011AB">
        <w:t>safe work method statements (SWMSs)</w:t>
      </w:r>
    </w:p>
    <w:p w:rsidR="00000000" w:rsidRPr="00F011AB" w:rsidP="00F011AB">
      <w:pPr>
        <w:pStyle w:val="ListBullet2"/>
      </w:pPr>
      <w:r w:rsidRPr="00F011AB">
        <w:t>safety data sheets (SDSs)</w:t>
      </w:r>
    </w:p>
    <w:p w:rsidR="00000000" w:rsidRPr="00F011AB" w:rsidP="00F011AB">
      <w:pPr>
        <w:pStyle w:val="ListBullet2"/>
      </w:pPr>
      <w:r w:rsidRPr="00F011AB">
        <w:t>safety manuals and instructions for plant, tools and equipment</w:t>
      </w:r>
    </w:p>
    <w:p w:rsidR="00000000" w:rsidRPr="00F011AB" w:rsidP="00F011AB">
      <w:pPr>
        <w:pStyle w:val="ListBullet2"/>
      </w:pPr>
      <w:r w:rsidRPr="00F011AB">
        <w:t>signage and barricades</w:t>
      </w:r>
    </w:p>
    <w:p w:rsidR="00000000" w:rsidRPr="00F011AB" w:rsidP="00F011AB">
      <w:pPr>
        <w:pStyle w:val="ListBullet2"/>
      </w:pPr>
      <w:r w:rsidRPr="00F011AB">
        <w:t>personal protective equipment (PPE)</w:t>
      </w:r>
    </w:p>
    <w:p w:rsidR="00000000" w:rsidRPr="00F011AB" w:rsidP="00F011AB">
      <w:pPr>
        <w:pStyle w:val="ListBullet2"/>
      </w:pPr>
      <w:r w:rsidRPr="00F011AB">
        <w:t>environmental and work site safety plans</w:t>
      </w:r>
    </w:p>
    <w:p w:rsidR="00000000" w:rsidRPr="00F011AB" w:rsidP="00F011AB">
      <w:pPr>
        <w:pStyle w:val="ListBullet"/>
      </w:pPr>
      <w:r w:rsidRPr="00F011AB">
        <w:t>requirements of Australian Standards and the National Construction</w:t>
      </w:r>
      <w:r w:rsidRPr="00F011AB">
        <w:t xml:space="preserve"> Code (NCC) relating to handling concreting materials</w:t>
      </w:r>
    </w:p>
    <w:p w:rsidR="00000000" w:rsidRPr="00F011AB" w:rsidP="00F011AB">
      <w:pPr>
        <w:pStyle w:val="ListBullet"/>
      </w:pPr>
      <w:r w:rsidRPr="00F011AB">
        <w:t>workplace requirements for all aspects of concrete handling, including interpreting work orders and reporting problems</w:t>
      </w:r>
    </w:p>
    <w:p w:rsidR="00000000" w:rsidRPr="00F011AB" w:rsidP="00F011AB">
      <w:pPr>
        <w:pStyle w:val="ListBullet"/>
      </w:pPr>
      <w:r w:rsidRPr="00F011AB">
        <w:t>common industry hazard identification and risk controls for handling concreting mat</w:t>
      </w:r>
      <w:r w:rsidRPr="00F011AB">
        <w:t>erials, including safe handling of materials and machinery</w:t>
      </w:r>
    </w:p>
    <w:p w:rsidR="00000000" w:rsidRPr="00F011AB" w:rsidP="00F011AB">
      <w:pPr>
        <w:pStyle w:val="ListBullet"/>
      </w:pPr>
      <w:r w:rsidRPr="00F011AB">
        <w:t>types, characteristics, uses and limitations of tools and equipment required to handle concreting materials and components</w:t>
      </w:r>
    </w:p>
    <w:p w:rsidR="00000000" w:rsidRPr="00F011AB" w:rsidP="00F011AB">
      <w:pPr>
        <w:pStyle w:val="ListBullet"/>
      </w:pPr>
      <w:r w:rsidRPr="00F011AB">
        <w:t>concrete materials, including:</w:t>
      </w:r>
    </w:p>
    <w:p w:rsidR="00000000" w:rsidRPr="00F011AB" w:rsidP="00F011AB">
      <w:pPr>
        <w:pStyle w:val="ListBullet2"/>
      </w:pPr>
      <w:r w:rsidRPr="00F011AB">
        <w:t>aggregates</w:t>
      </w:r>
    </w:p>
    <w:p w:rsidR="00000000" w:rsidRPr="00F011AB" w:rsidP="00F011AB">
      <w:pPr>
        <w:pStyle w:val="ListBullet2"/>
      </w:pPr>
      <w:r w:rsidRPr="00F011AB">
        <w:t>cement</w:t>
      </w:r>
    </w:p>
    <w:p w:rsidR="00000000" w:rsidRPr="00F011AB" w:rsidP="00F011AB">
      <w:pPr>
        <w:pStyle w:val="ListBullet2"/>
      </w:pPr>
      <w:r w:rsidRPr="00F011AB">
        <w:t>form release agents</w:t>
      </w:r>
    </w:p>
    <w:p w:rsidR="00000000" w:rsidRPr="00F011AB" w:rsidP="00F011AB">
      <w:pPr>
        <w:pStyle w:val="ListBullet2"/>
      </w:pPr>
      <w:r w:rsidRPr="00F011AB">
        <w:t>non-</w:t>
      </w:r>
      <w:r w:rsidRPr="00F011AB">
        <w:t>toxic materials, including general concreting materials</w:t>
      </w:r>
    </w:p>
    <w:p w:rsidR="00000000" w:rsidRPr="00F011AB" w:rsidP="00F011AB">
      <w:pPr>
        <w:pStyle w:val="ListBullet2"/>
      </w:pPr>
      <w:r w:rsidRPr="00F011AB">
        <w:t>sand</w:t>
      </w:r>
    </w:p>
    <w:p w:rsidR="00000000" w:rsidRPr="00F011AB" w:rsidP="00F011AB">
      <w:pPr>
        <w:pStyle w:val="ListBullet2"/>
      </w:pPr>
      <w:r w:rsidRPr="00F011AB">
        <w:t>water</w:t>
      </w:r>
    </w:p>
    <w:p w:rsidR="00000000" w:rsidRPr="00F011AB" w:rsidP="00F011AB">
      <w:pPr>
        <w:pStyle w:val="ListBullet2"/>
      </w:pPr>
      <w:r w:rsidRPr="00F011AB">
        <w:t>additives</w:t>
      </w:r>
    </w:p>
    <w:p w:rsidR="00000000" w:rsidRPr="00F011AB" w:rsidP="00F011AB">
      <w:pPr>
        <w:pStyle w:val="ListBullet2"/>
      </w:pPr>
      <w:r w:rsidRPr="00F011AB">
        <w:t>curing compound</w:t>
      </w:r>
    </w:p>
    <w:p w:rsidR="00000000" w:rsidRPr="00F011AB" w:rsidP="00F011AB">
      <w:pPr>
        <w:pStyle w:val="ListBullet2"/>
      </w:pPr>
      <w:r w:rsidRPr="00F011AB">
        <w:t>oxides</w:t>
      </w:r>
    </w:p>
    <w:p w:rsidR="00000000" w:rsidRPr="00F011AB" w:rsidP="00F011AB">
      <w:pPr>
        <w:pStyle w:val="ListBullet"/>
      </w:pPr>
      <w:r w:rsidRPr="00F011AB">
        <w:t>concrete components, including:</w:t>
      </w:r>
    </w:p>
    <w:p w:rsidR="00000000" w:rsidRPr="00F011AB" w:rsidP="00F011AB">
      <w:pPr>
        <w:pStyle w:val="ListBullet2"/>
      </w:pPr>
      <w:r w:rsidRPr="00F011AB">
        <w:t>bar chairs</w:t>
      </w:r>
    </w:p>
    <w:p w:rsidR="00000000" w:rsidRPr="00F011AB" w:rsidP="00F011AB">
      <w:pPr>
        <w:pStyle w:val="ListBullet2"/>
      </w:pPr>
      <w:r w:rsidRPr="00F011AB">
        <w:t>bracing</w:t>
      </w:r>
    </w:p>
    <w:p w:rsidR="00000000" w:rsidRPr="00F011AB" w:rsidP="00F011AB">
      <w:pPr>
        <w:pStyle w:val="ListBullet2"/>
      </w:pPr>
      <w:r w:rsidRPr="00F011AB">
        <w:t>plastic membrane</w:t>
      </w:r>
    </w:p>
    <w:p w:rsidR="00000000" w:rsidRPr="00F011AB" w:rsidP="00F011AB">
      <w:pPr>
        <w:pStyle w:val="ListBullet2"/>
      </w:pPr>
      <w:r w:rsidRPr="00F011AB">
        <w:t>reinforcement mesh</w:t>
      </w:r>
    </w:p>
    <w:p w:rsidR="00000000" w:rsidRPr="00F011AB" w:rsidP="00F011AB">
      <w:pPr>
        <w:pStyle w:val="ListBullet2"/>
      </w:pPr>
      <w:r w:rsidRPr="00F011AB">
        <w:t>spacers</w:t>
      </w:r>
    </w:p>
    <w:p w:rsidR="00000000" w:rsidRPr="00F011AB" w:rsidP="00F011AB">
      <w:pPr>
        <w:pStyle w:val="ListBullet2"/>
      </w:pPr>
      <w:r w:rsidRPr="00F011AB">
        <w:t>steel and timber formwork</w:t>
      </w:r>
    </w:p>
    <w:p w:rsidR="00000000" w:rsidRPr="00F011AB" w:rsidP="00F011AB">
      <w:pPr>
        <w:pStyle w:val="ListBullet2"/>
      </w:pPr>
      <w:r w:rsidRPr="00F011AB">
        <w:t>bar steel</w:t>
      </w:r>
    </w:p>
    <w:p w:rsidR="00000000" w:rsidRPr="00F011AB" w:rsidP="00F011AB">
      <w:pPr>
        <w:pStyle w:val="ListBullet2"/>
      </w:pPr>
      <w:r w:rsidRPr="00F011AB">
        <w:t>decking</w:t>
      </w:r>
    </w:p>
    <w:p w:rsidR="00000000" w:rsidRPr="00F011AB" w:rsidP="00F011AB">
      <w:pPr>
        <w:pStyle w:val="ListBullet2"/>
      </w:pPr>
      <w:r w:rsidRPr="00F011AB">
        <w:t>key joints</w:t>
      </w:r>
    </w:p>
    <w:p w:rsidR="00000000" w:rsidRPr="00F011AB" w:rsidP="00F011AB">
      <w:pPr>
        <w:pStyle w:val="ListBullet2"/>
      </w:pPr>
      <w:r w:rsidRPr="00F011AB">
        <w:t>push-pull props</w:t>
      </w:r>
    </w:p>
    <w:p w:rsidR="00000000" w:rsidRPr="00F011AB" w:rsidP="00F011AB">
      <w:pPr>
        <w:pStyle w:val="ListBullet2"/>
      </w:pPr>
      <w:r w:rsidRPr="00F011AB">
        <w:t>reinforcement bars</w:t>
      </w:r>
    </w:p>
    <w:p w:rsidR="00000000" w:rsidRPr="00F011AB" w:rsidP="00F011AB">
      <w:pPr>
        <w:pStyle w:val="ListBullet2"/>
      </w:pPr>
      <w:r w:rsidRPr="00F011AB">
        <w:t>support props</w:t>
      </w:r>
    </w:p>
    <w:p w:rsidR="00000000" w:rsidRPr="00F011AB" w:rsidP="00F011AB">
      <w:pPr>
        <w:pStyle w:val="ListBullet"/>
      </w:pPr>
      <w:r w:rsidRPr="00F011AB">
        <w:t>environmental management principles that apply to handling concreting materials</w:t>
      </w:r>
    </w:p>
    <w:p w:rsidR="00000000" w:rsidRPr="00F011AB" w:rsidP="00F011AB">
      <w:pPr>
        <w:pStyle w:val="ListBullet"/>
      </w:pPr>
      <w:r w:rsidRPr="00F011AB">
        <w:t>manual handling techniques for concrete materials</w:t>
      </w:r>
    </w:p>
    <w:p w:rsidR="00000000" w:rsidRPr="00F011AB" w:rsidP="00F011AB">
      <w:pPr>
        <w:pStyle w:val="ListBullet"/>
      </w:pPr>
      <w:r w:rsidRPr="00F011AB">
        <w:t>procedures for safely handling and storing materials, and disposing of hazar</w:t>
      </w:r>
      <w:r w:rsidRPr="00F011AB">
        <w:t>dous materials and waste.</w:t>
      </w:r>
    </w:p>
    <w:p w:rsidR="00000000" w:rsidRPr="00F011AB" w:rsidP="00F011AB">
      <w:pPr>
        <w:pStyle w:val="AllowPageBreak"/>
      </w:pPr>
    </w:p>
    <w:p w:rsidR="00000000" w:rsidRPr="00F011AB" w:rsidP="00F011AB">
      <w:pPr>
        <w:pStyle w:val="Heading1"/>
      </w:pPr>
      <w:bookmarkStart w:id="4" w:name="O_1013767"/>
      <w:bookmarkEnd w:id="4"/>
      <w:r w:rsidRPr="00F011AB">
        <w:t>Assessment Conditions</w:t>
      </w:r>
    </w:p>
    <w:p w:rsidR="00000000" w:rsidRPr="00F011AB" w:rsidP="003B57DC">
      <w:pPr>
        <w:pStyle w:val="BodyText"/>
      </w:pPr>
      <w:r w:rsidRPr="00F011AB">
        <w:t xml:space="preserve">Assessors must satisfy the requirements for assessors contained in the Standards for Registered Training Organisations. </w:t>
      </w:r>
    </w:p>
    <w:p w:rsidR="00000000" w:rsidRPr="00F011AB" w:rsidP="003B57DC">
      <w:pPr>
        <w:pStyle w:val="BodyText"/>
      </w:pPr>
      <w:r w:rsidRPr="00F011AB">
        <w:t xml:space="preserve">Assessment of performance must be undertaken in the workplace or in </w:t>
      </w:r>
      <w:r w:rsidRPr="00F011AB">
        <w:t xml:space="preserve">a simulated workplace environment. Tasks are to be performed to the level of proficiency and within the time limits expected in a workplace. </w:t>
      </w:r>
    </w:p>
    <w:p w:rsidR="00000000" w:rsidRPr="00F011AB" w:rsidP="003B57DC">
      <w:pPr>
        <w:pStyle w:val="BodyText"/>
      </w:pPr>
      <w:r w:rsidRPr="00F011AB">
        <w:t>Assessors are responsible for ensuring that the person demonstrating competency has access to:</w:t>
      </w:r>
    </w:p>
    <w:p w:rsidR="00000000" w:rsidRPr="00F011AB" w:rsidP="00F011AB">
      <w:pPr>
        <w:pStyle w:val="ListBullet"/>
      </w:pPr>
      <w:r w:rsidRPr="00F011AB">
        <w:t>work sites and spe</w:t>
      </w:r>
      <w:r w:rsidRPr="00F011AB">
        <w:t>cifications to handle concreting materials</w:t>
      </w:r>
    </w:p>
    <w:p w:rsidR="00000000" w:rsidRPr="00F011AB" w:rsidP="00F011AB">
      <w:pPr>
        <w:pStyle w:val="ListBullet"/>
      </w:pPr>
      <w:r w:rsidRPr="00F011AB">
        <w:t>appropriate documents, materials, tools, equipment and PPE currently used in industry</w:t>
      </w:r>
    </w:p>
    <w:p w:rsidR="00000000" w:rsidRPr="00F011AB" w:rsidP="00F011AB">
      <w:pPr>
        <w:pStyle w:val="ListBullet"/>
      </w:pPr>
      <w:r w:rsidRPr="00F011AB">
        <w:t>requirements of appropriate sections of legislation and regulations</w:t>
      </w:r>
    </w:p>
    <w:p w:rsidR="00000000" w:rsidRPr="00F011AB" w:rsidP="00F011AB">
      <w:pPr>
        <w:pStyle w:val="ListBullet"/>
      </w:pPr>
      <w:r w:rsidRPr="00F011AB">
        <w:t>relevant workplace policies and procedures.</w:t>
      </w:r>
    </w:p>
    <w:p w:rsidR="00000000" w:rsidRPr="00F011AB" w:rsidP="00F011AB">
      <w:pPr>
        <w:pStyle w:val="AllowPageBreak"/>
      </w:pPr>
    </w:p>
    <w:p w:rsidR="00000000" w:rsidRPr="00F011AB" w:rsidP="00F011AB">
      <w:pPr>
        <w:pStyle w:val="Heading1"/>
      </w:pPr>
      <w:bookmarkStart w:id="5" w:name="O_1013765"/>
      <w:bookmarkEnd w:id="5"/>
      <w:r w:rsidRPr="00F011AB">
        <w:t>Links</w:t>
      </w:r>
    </w:p>
    <w:p w:rsidR="00000000" w:rsidRPr="00F011AB" w:rsidP="003B57DC">
      <w:pPr>
        <w:pStyle w:val="BodyText"/>
      </w:pPr>
      <w:r w:rsidRPr="00F011A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A76DE0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F011AB" w:rsidP="00F011AB"/>
    <w:sectPr w:rsidSect="00F011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AB" w:rsidRPr="003B57DC" w:rsidP="003B5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C" w:rsidP="00F01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7DC" w:rsidP="00F01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B57DC" w:rsidP="00F01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1AB" w:rsidRPr="003B57DC" w:rsidP="003B5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7DC" w:rsidRPr="002D2AF8" w:rsidP="00F01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CPCCCO2021 Handle concreting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3B57DC" w:rsidP="00F01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50E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E29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C05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1AB"/>
  </w:style>
  <w:style w:type="character" w:customStyle="1" w:styleId="Heading1Char">
    <w:name w:val="Heading 1 Char"/>
    <w:basedOn w:val="DefaultParagraphFont"/>
    <w:link w:val="Heading1"/>
    <w:rsid w:val="00F01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1A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11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1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11AB"/>
    <w:rPr>
      <w:b/>
      <w:spacing w:val="0"/>
    </w:rPr>
  </w:style>
  <w:style w:type="paragraph" w:customStyle="1" w:styleId="SuperTitle">
    <w:name w:val="SuperTitle"/>
    <w:basedOn w:val="Title"/>
    <w:rsid w:val="00F01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1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1AB"/>
    <w:rPr>
      <w:i/>
    </w:rPr>
  </w:style>
  <w:style w:type="paragraph" w:styleId="Caption">
    <w:name w:val="caption"/>
    <w:basedOn w:val="BodyText"/>
    <w:next w:val="Normal"/>
    <w:qFormat/>
    <w:rsid w:val="00F01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1AB"/>
  </w:style>
  <w:style w:type="paragraph" w:styleId="TableofFigures">
    <w:name w:val="table of figures"/>
    <w:basedOn w:val="Normal"/>
    <w:next w:val="Normal"/>
    <w:semiHidden/>
    <w:rsid w:val="00F01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1AB"/>
    <w:pPr>
      <w:numPr>
        <w:numId w:val="11"/>
      </w:numPr>
    </w:pPr>
  </w:style>
  <w:style w:type="character" w:customStyle="1" w:styleId="WingdingSymbols">
    <w:name w:val="Wingding Symbols"/>
    <w:rsid w:val="00F011AB"/>
    <w:rPr>
      <w:rFonts w:ascii="Wingdings" w:hAnsi="Wingdings"/>
    </w:rPr>
  </w:style>
  <w:style w:type="paragraph" w:customStyle="1" w:styleId="TableHeading">
    <w:name w:val="Table Heading"/>
    <w:basedOn w:val="HeadingBase"/>
    <w:rsid w:val="00F01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1AB"/>
    <w:rPr>
      <w:color w:val="0033CC"/>
      <w:u w:val="none"/>
    </w:rPr>
  </w:style>
  <w:style w:type="paragraph" w:customStyle="1" w:styleId="BodyTextRight">
    <w:name w:val="Body Text Right"/>
    <w:basedOn w:val="BodyText"/>
    <w:rsid w:val="00F01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1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1AB"/>
    <w:rPr>
      <w:sz w:val="32"/>
    </w:rPr>
  </w:style>
  <w:style w:type="paragraph" w:customStyle="1" w:styleId="HeadingProcedure">
    <w:name w:val="Heading Procedure"/>
    <w:basedOn w:val="HeadingBase"/>
    <w:next w:val="Normal"/>
    <w:rsid w:val="00F01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1AB"/>
    <w:pPr>
      <w:spacing w:before="60" w:after="60"/>
    </w:pPr>
  </w:style>
  <w:style w:type="paragraph" w:styleId="ListContinue">
    <w:name w:val="List Continue"/>
    <w:basedOn w:val="List"/>
    <w:rsid w:val="00F011AB"/>
    <w:pPr>
      <w:ind w:firstLine="0"/>
    </w:pPr>
  </w:style>
  <w:style w:type="paragraph" w:customStyle="1" w:styleId="ListNote">
    <w:name w:val="List Note"/>
    <w:basedOn w:val="List"/>
    <w:rsid w:val="00F01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1AB"/>
    <w:rPr>
      <w:rFonts w:ascii="Courier New" w:hAnsi="Courier New"/>
    </w:rPr>
  </w:style>
  <w:style w:type="paragraph" w:customStyle="1" w:styleId="NoteBullet">
    <w:name w:val="Note Bullet"/>
    <w:basedOn w:val="Note"/>
    <w:rsid w:val="00F01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1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1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1AB"/>
    <w:rPr>
      <w:b/>
      <w:smallCaps/>
    </w:rPr>
  </w:style>
  <w:style w:type="paragraph" w:customStyle="1" w:styleId="TableListNumber">
    <w:name w:val="Table List Number"/>
    <w:basedOn w:val="ListNumber"/>
    <w:rsid w:val="00F01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1AB"/>
    <w:pPr>
      <w:numPr>
        <w:numId w:val="9"/>
      </w:numPr>
    </w:pPr>
  </w:style>
  <w:style w:type="paragraph" w:customStyle="1" w:styleId="ListAlpha2">
    <w:name w:val="List Alpha 2"/>
    <w:basedOn w:val="List2"/>
    <w:rsid w:val="00F011AB"/>
    <w:pPr>
      <w:numPr>
        <w:numId w:val="8"/>
      </w:numPr>
    </w:pPr>
  </w:style>
  <w:style w:type="paragraph" w:styleId="List2">
    <w:name w:val="List 2"/>
    <w:basedOn w:val="BodyText"/>
    <w:rsid w:val="00F01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1A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1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11AB"/>
    <w:pPr>
      <w:numPr>
        <w:numId w:val="4"/>
      </w:numPr>
    </w:pPr>
  </w:style>
  <w:style w:type="paragraph" w:styleId="ListContinue2">
    <w:name w:val="List Continue 2"/>
    <w:basedOn w:val="List2"/>
    <w:rsid w:val="00F011AB"/>
    <w:pPr>
      <w:ind w:firstLine="0"/>
    </w:pPr>
  </w:style>
  <w:style w:type="paragraph" w:styleId="ListContinue3">
    <w:name w:val="List Continue 3"/>
    <w:basedOn w:val="List3"/>
    <w:rsid w:val="00F011AB"/>
    <w:pPr>
      <w:ind w:left="1021" w:firstLine="0"/>
    </w:pPr>
  </w:style>
  <w:style w:type="paragraph" w:styleId="ListContinue4">
    <w:name w:val="List Continue 4"/>
    <w:basedOn w:val="List4"/>
    <w:rsid w:val="00F011AB"/>
    <w:pPr>
      <w:ind w:firstLine="0"/>
    </w:pPr>
  </w:style>
  <w:style w:type="paragraph" w:styleId="ListContinue5">
    <w:name w:val="List Continue 5"/>
    <w:basedOn w:val="List5"/>
    <w:rsid w:val="00F011AB"/>
    <w:pPr>
      <w:ind w:firstLine="0"/>
    </w:pPr>
  </w:style>
  <w:style w:type="paragraph" w:styleId="ListNumber3">
    <w:name w:val="List Number 3"/>
    <w:basedOn w:val="List3"/>
    <w:rsid w:val="00F011AB"/>
    <w:pPr>
      <w:numPr>
        <w:numId w:val="5"/>
      </w:numPr>
    </w:pPr>
  </w:style>
  <w:style w:type="paragraph" w:styleId="ListNumber4">
    <w:name w:val="List Number 4"/>
    <w:basedOn w:val="List4"/>
    <w:rsid w:val="00F011AB"/>
    <w:pPr>
      <w:numPr>
        <w:numId w:val="6"/>
      </w:numPr>
    </w:pPr>
  </w:style>
  <w:style w:type="paragraph" w:styleId="ListNumber5">
    <w:name w:val="List Number 5"/>
    <w:basedOn w:val="List5"/>
    <w:rsid w:val="00F011AB"/>
    <w:pPr>
      <w:numPr>
        <w:numId w:val="7"/>
      </w:numPr>
    </w:pPr>
  </w:style>
  <w:style w:type="paragraph" w:styleId="BlockText">
    <w:name w:val="Block Text"/>
    <w:basedOn w:val="Normal"/>
    <w:rsid w:val="00F01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1AB"/>
    <w:rPr>
      <w:sz w:val="16"/>
      <w:vertAlign w:val="superscript"/>
    </w:rPr>
  </w:style>
  <w:style w:type="character" w:customStyle="1" w:styleId="Symbols">
    <w:name w:val="Symbols"/>
    <w:basedOn w:val="DefaultParagraphFont"/>
    <w:rsid w:val="00F011AB"/>
    <w:rPr>
      <w:rFonts w:ascii="Symbol" w:hAnsi="Symbol"/>
    </w:rPr>
  </w:style>
  <w:style w:type="character" w:customStyle="1" w:styleId="MenuOptions">
    <w:name w:val="Menu Options"/>
    <w:basedOn w:val="DefaultParagraphFont"/>
    <w:rsid w:val="00F01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1AB"/>
    <w:rPr>
      <w:b/>
    </w:rPr>
  </w:style>
  <w:style w:type="character" w:customStyle="1" w:styleId="Underlined">
    <w:name w:val="Underlined"/>
    <w:basedOn w:val="DefaultParagraphFont"/>
    <w:rsid w:val="00F011AB"/>
    <w:rPr>
      <w:u w:val="single"/>
    </w:rPr>
  </w:style>
  <w:style w:type="paragraph" w:customStyle="1" w:styleId="TableBodyTextRight">
    <w:name w:val="Table Body Text Right"/>
    <w:basedOn w:val="TableBodyText"/>
    <w:rsid w:val="00F01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1AB"/>
    <w:rPr>
      <w:sz w:val="18"/>
    </w:rPr>
  </w:style>
  <w:style w:type="paragraph" w:customStyle="1" w:styleId="BodySmallRight">
    <w:name w:val="Body Small Right"/>
    <w:basedOn w:val="BodyTextRight"/>
    <w:rsid w:val="00F011AB"/>
    <w:rPr>
      <w:sz w:val="18"/>
      <w:szCs w:val="18"/>
    </w:rPr>
  </w:style>
  <w:style w:type="paragraph" w:customStyle="1" w:styleId="MarginEdition">
    <w:name w:val="Margin Edition"/>
    <w:basedOn w:val="MarginNote"/>
    <w:rsid w:val="00F01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1AB"/>
    <w:rPr>
      <w:sz w:val="2"/>
      <w:szCs w:val="2"/>
    </w:rPr>
  </w:style>
  <w:style w:type="character" w:customStyle="1" w:styleId="Small">
    <w:name w:val="Small"/>
    <w:basedOn w:val="DefaultParagraphFont"/>
    <w:rsid w:val="00F011AB"/>
    <w:rPr>
      <w:sz w:val="16"/>
    </w:rPr>
  </w:style>
  <w:style w:type="paragraph" w:customStyle="1" w:styleId="WideTable">
    <w:name w:val="Wide Table"/>
    <w:basedOn w:val="Normal"/>
    <w:rsid w:val="00F01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1AB"/>
  </w:style>
  <w:style w:type="paragraph" w:styleId="Quote">
    <w:name w:val="Quote"/>
    <w:basedOn w:val="Heading1"/>
    <w:link w:val="QuoteChar"/>
    <w:qFormat/>
    <w:rsid w:val="00F01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1AB"/>
    <w:pPr>
      <w:pageBreakBefore/>
    </w:pPr>
  </w:style>
  <w:style w:type="paragraph" w:customStyle="1" w:styleId="Border">
    <w:name w:val="Border"/>
    <w:basedOn w:val="Normal"/>
    <w:qFormat/>
    <w:rsid w:val="00F01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1AB"/>
    <w:rPr>
      <w:u w:val="single"/>
    </w:rPr>
  </w:style>
  <w:style w:type="character" w:customStyle="1" w:styleId="BoldandItalics">
    <w:name w:val="Bold and Italics"/>
    <w:qFormat/>
    <w:rsid w:val="00F011AB"/>
    <w:rPr>
      <w:b/>
      <w:i/>
      <w:u w:val="none"/>
    </w:rPr>
  </w:style>
  <w:style w:type="paragraph" w:styleId="BalloonText">
    <w:name w:val="Balloon Text"/>
    <w:basedOn w:val="Normal"/>
    <w:link w:val="BalloonTextChar"/>
    <w:rsid w:val="00F01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1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5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2907</Characters>
  <Application>Microsoft Office Word</Application>
  <DocSecurity>0</DocSecurity>
  <Lines>88</Lines>
  <Paragraphs>72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CPCCCO2021 Handle concreting materials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2019-01-17T03:18:00Z</dcterms:created>
  <dcterms:modified xsi:type="dcterms:W3CDTF">2019-01-17T03:18:00Z</dcterms:modified>
</cp:coreProperties>
</file>