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6BB" w:rsidP="00CE0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CPCCCO2013 Carry out concreting to simple forms</w:t>
      </w:r>
      <w:r>
        <w:fldChar w:fldCharType="end"/>
      </w:r>
    </w:p>
    <w:p w:rsidR="00CE06BB" w:rsidP="00CE06BB">
      <w:pPr>
        <w:pStyle w:val="Version"/>
        <w:sectPr w:rsidSect="00B77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77DCC" w:rsidP="00B77DCC">
      <w:pPr>
        <w:pStyle w:val="SuperHeading"/>
      </w:pPr>
      <w:r w:rsidRPr="00B77DCC">
        <w:t>Assessment Requirements for CPCCCO2013 Carry out concreting to simple forms</w:t>
      </w:r>
    </w:p>
    <w:p w:rsidR="00000000" w:rsidRPr="00B77DCC" w:rsidP="00B77DCC">
      <w:pPr>
        <w:pStyle w:val="Heading1"/>
      </w:pPr>
      <w:bookmarkStart w:id="1" w:name="O_1295114"/>
      <w:bookmarkEnd w:id="1"/>
      <w:r w:rsidRPr="00B77D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77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C">
            <w:pPr>
              <w:pStyle w:val="BodyText"/>
              <w:rPr>
                <w:lang w:val="en-NZ"/>
              </w:rPr>
            </w:pPr>
            <w:r w:rsidRPr="00B77DC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C">
            <w:pPr>
              <w:pStyle w:val="BodyText"/>
              <w:rPr>
                <w:lang w:val="en-NZ"/>
              </w:rPr>
            </w:pPr>
            <w:r w:rsidRPr="00B77DCC">
              <w:t>Updated reference to general construction induction training program.</w:t>
            </w:r>
          </w:p>
        </w:tc>
      </w:tr>
      <w:tr w:rsidTr="00B77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C">
            <w:pPr>
              <w:pStyle w:val="BodyText"/>
              <w:rPr>
                <w:lang w:val="en-NZ"/>
              </w:rPr>
            </w:pPr>
            <w:r w:rsidRPr="00B77DC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DCC" w:rsidP="00B77DCC">
            <w:pPr>
              <w:pStyle w:val="BodyText"/>
            </w:pPr>
            <w:r w:rsidRPr="00B77DCC">
              <w:t>This version first released with CPC Construction, Plumbing and Services Training Package Release 5.1.</w:t>
            </w:r>
          </w:p>
          <w:p w:rsidR="00000000" w:rsidP="00B77DCC">
            <w:pPr>
              <w:pStyle w:val="BodyText"/>
              <w:rPr>
                <w:lang w:val="en-NZ"/>
              </w:rPr>
            </w:pPr>
            <w:r w:rsidRPr="00B77DCC">
              <w:t>Knowledge Evidence formatted for clarity.</w:t>
            </w:r>
          </w:p>
        </w:tc>
      </w:tr>
      <w:tr w:rsidTr="00B77D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DCC">
            <w:pPr>
              <w:pStyle w:val="BodyText"/>
              <w:rPr>
                <w:lang w:val="en-NZ"/>
              </w:rPr>
            </w:pPr>
            <w:r w:rsidRPr="00B77D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DCC" w:rsidP="00B77DCC">
            <w:pPr>
              <w:pStyle w:val="BodyText"/>
            </w:pPr>
            <w:r w:rsidRPr="00B77DCC">
              <w:t>This version first released with CPC Construction, Plumbing and Services Training Package Release 5.</w:t>
            </w:r>
            <w:r w:rsidRPr="00B77DCC">
              <w:t>0.</w:t>
            </w:r>
          </w:p>
          <w:p w:rsidR="00000000" w:rsidRPr="00B77DCC" w:rsidP="00B77DCC">
            <w:pPr>
              <w:pStyle w:val="BodyText"/>
            </w:pPr>
            <w:r w:rsidRPr="00B77DCC">
              <w:t>Supersedes and is equivalent to CPCCCO2013A Carry out concreting to simple forms.  Updated to meet the Standards for Training Packages.</w:t>
            </w:r>
          </w:p>
        </w:tc>
      </w:tr>
    </w:tbl>
    <w:p w:rsidR="00000000" w:rsidRPr="00B77DCC" w:rsidP="00B77DCC">
      <w:pPr>
        <w:pStyle w:val="BodyText"/>
      </w:pPr>
    </w:p>
    <w:p w:rsidR="00000000" w:rsidRPr="00B77DCC" w:rsidP="00B77DCC">
      <w:pPr>
        <w:pStyle w:val="AllowPageBreak"/>
      </w:pPr>
    </w:p>
    <w:p w:rsidR="00000000" w:rsidRPr="00B77DCC" w:rsidP="00B77DCC">
      <w:pPr>
        <w:pStyle w:val="Heading1"/>
      </w:pPr>
      <w:bookmarkStart w:id="2" w:name="O_1295113"/>
      <w:bookmarkEnd w:id="2"/>
      <w:r w:rsidRPr="00B77DCC">
        <w:t>Performance Evidence</w:t>
      </w:r>
    </w:p>
    <w:p w:rsidR="00000000" w:rsidRPr="00B77DCC" w:rsidP="00CE06BB">
      <w:pPr>
        <w:pStyle w:val="BodyText"/>
      </w:pPr>
      <w:r w:rsidRPr="00B77DCC">
        <w:t>To demonstrate competency, a candidate must satisfy all the elements, perfo</w:t>
      </w:r>
      <w:r w:rsidRPr="00B77DCC">
        <w:t>rmance criteria and foundation skills of this unit by carrying out concreting to a simple form slab of at least 1 square metre and 100 mm in depth by:</w:t>
      </w:r>
    </w:p>
    <w:p w:rsidR="00000000" w:rsidRPr="00B77DCC" w:rsidP="00B77DCC">
      <w:pPr>
        <w:pStyle w:val="ListBullet"/>
      </w:pPr>
      <w:r w:rsidRPr="00B77DCC">
        <w:t>preparing substrate</w:t>
      </w:r>
    </w:p>
    <w:p w:rsidR="00000000" w:rsidRPr="00B77DCC" w:rsidP="00B77DCC">
      <w:pPr>
        <w:pStyle w:val="ListBullet"/>
      </w:pPr>
      <w:r w:rsidRPr="00B77DCC">
        <w:t>erecting formwork</w:t>
      </w:r>
    </w:p>
    <w:p w:rsidR="00000000" w:rsidRPr="00B77DCC" w:rsidP="00B77DCC">
      <w:pPr>
        <w:pStyle w:val="ListBullet"/>
      </w:pPr>
      <w:r w:rsidRPr="00B77DCC">
        <w:t>cutting, placing and tying reinforcement</w:t>
      </w:r>
    </w:p>
    <w:p w:rsidR="00000000" w:rsidRPr="00B77DCC" w:rsidP="00B77DCC">
      <w:pPr>
        <w:pStyle w:val="ListBullet"/>
      </w:pPr>
      <w:r w:rsidRPr="00B77DCC">
        <w:t>placing and hand-s</w:t>
      </w:r>
      <w:r w:rsidRPr="00B77DCC">
        <w:t>creeding concrete to the required finished level and job specification.</w:t>
      </w:r>
    </w:p>
    <w:p w:rsidR="00000000" w:rsidRPr="00B77DCC" w:rsidP="00CE06BB">
      <w:pPr>
        <w:pStyle w:val="BodyText"/>
      </w:pPr>
      <w:r w:rsidRPr="00B77DCC">
        <w:t>All work must be planned and  performed using appropriate tools and equipment  to the standard required in the workplace and must comply with laws and regulations, the National Constru</w:t>
      </w:r>
      <w:r w:rsidRPr="00B77DCC">
        <w:t>ction Code (NCC), Australian Standards, work health and safety (WHS) and environmental requirements, manufacturers’ specifications, workplace requirements, drawings and specifications.</w:t>
      </w:r>
    </w:p>
    <w:p w:rsidR="00000000" w:rsidRPr="00B77DCC" w:rsidP="00B77DCC">
      <w:pPr>
        <w:pStyle w:val="Heading1"/>
      </w:pPr>
      <w:bookmarkStart w:id="3" w:name="O_1295112"/>
      <w:bookmarkEnd w:id="3"/>
      <w:r w:rsidRPr="00B77DCC">
        <w:t>Knowledge Evidence</w:t>
      </w:r>
    </w:p>
    <w:p w:rsidR="00000000" w:rsidRPr="00B77DCC" w:rsidP="00CE06BB">
      <w:pPr>
        <w:pStyle w:val="BodyText"/>
      </w:pPr>
      <w:r w:rsidRPr="00B77DCC">
        <w:t>To be competent in this unit, a c</w:t>
      </w:r>
      <w:r w:rsidRPr="00B77DCC">
        <w:t>andidate must demonstrate knowledge of:</w:t>
      </w:r>
    </w:p>
    <w:p w:rsidR="00000000" w:rsidRPr="00B77DCC" w:rsidP="00B77DCC">
      <w:pPr>
        <w:pStyle w:val="ListBullet"/>
      </w:pPr>
      <w:r w:rsidRPr="00B77DCC">
        <w:t>compliance requirements of the National Construction Code and Australian Standards relevant to concreting to simple forms</w:t>
      </w:r>
    </w:p>
    <w:p w:rsidR="00000000" w:rsidRPr="00B77DCC" w:rsidP="00B77DCC">
      <w:pPr>
        <w:pStyle w:val="ListBullet"/>
      </w:pPr>
      <w:r w:rsidRPr="00B77DCC">
        <w:t>workplace quality policies and standards relevant to concreting to simple forms</w:t>
      </w:r>
    </w:p>
    <w:p w:rsidR="00000000" w:rsidRPr="00B77DCC" w:rsidP="00B77DCC">
      <w:pPr>
        <w:pStyle w:val="ListBullet"/>
      </w:pPr>
      <w:r w:rsidRPr="00B77DCC">
        <w:t>safety requir</w:t>
      </w:r>
      <w:r w:rsidRPr="00B77DCC">
        <w:t>ements for concreting to simple forms</w:t>
      </w:r>
    </w:p>
    <w:p w:rsidR="00000000" w:rsidRPr="00B77DCC" w:rsidP="00B77DCC">
      <w:pPr>
        <w:pStyle w:val="ListBullet"/>
      </w:pPr>
      <w:r w:rsidRPr="00B77DCC">
        <w:t>types and uses of tools and equipment required for concreting to simple forms</w:t>
      </w:r>
    </w:p>
    <w:p w:rsidR="00000000" w:rsidRPr="00B77DCC" w:rsidP="00B77DCC">
      <w:pPr>
        <w:pStyle w:val="ListBullet"/>
      </w:pPr>
      <w:r w:rsidRPr="00B77DCC">
        <w:t>uses of concreting materials, including:</w:t>
      </w:r>
    </w:p>
    <w:p w:rsidR="00000000" w:rsidRPr="00B77DCC" w:rsidP="00B77DCC">
      <w:pPr>
        <w:pStyle w:val="ListBullet2"/>
      </w:pPr>
      <w:r w:rsidRPr="00B77DCC">
        <w:t>bar chairs</w:t>
      </w:r>
    </w:p>
    <w:p w:rsidR="00000000" w:rsidRPr="00B77DCC" w:rsidP="00B77DCC">
      <w:pPr>
        <w:pStyle w:val="ListBullet2"/>
      </w:pPr>
      <w:r w:rsidRPr="00B77DCC">
        <w:t>bracing</w:t>
      </w:r>
    </w:p>
    <w:p w:rsidR="00000000" w:rsidRPr="00B77DCC" w:rsidP="00B77DCC">
      <w:pPr>
        <w:pStyle w:val="ListBullet2"/>
      </w:pPr>
      <w:r w:rsidRPr="00B77DCC">
        <w:t>edge form and boards</w:t>
      </w:r>
    </w:p>
    <w:p w:rsidR="00000000" w:rsidRPr="00B77DCC" w:rsidP="00B77DCC">
      <w:pPr>
        <w:pStyle w:val="ListBullet2"/>
      </w:pPr>
      <w:r w:rsidRPr="00B77DCC">
        <w:t>fabric sheet mesh</w:t>
      </w:r>
    </w:p>
    <w:p w:rsidR="00000000" w:rsidRPr="00B77DCC" w:rsidP="00B77DCC">
      <w:pPr>
        <w:pStyle w:val="ListBullet2"/>
      </w:pPr>
      <w:r w:rsidRPr="00B77DCC">
        <w:t>pegs</w:t>
      </w:r>
    </w:p>
    <w:p w:rsidR="00000000" w:rsidRPr="00B77DCC" w:rsidP="00B77DCC">
      <w:pPr>
        <w:pStyle w:val="ListBullet2"/>
      </w:pPr>
      <w:r w:rsidRPr="00B77DCC">
        <w:t>spacers</w:t>
      </w:r>
    </w:p>
    <w:p w:rsidR="00000000" w:rsidRPr="00B77DCC" w:rsidP="00B77DCC">
      <w:pPr>
        <w:pStyle w:val="ListBullet2"/>
      </w:pPr>
      <w:r w:rsidRPr="00B77DCC">
        <w:t>reinforcing bars</w:t>
      </w:r>
    </w:p>
    <w:p w:rsidR="00000000" w:rsidRPr="00B77DCC" w:rsidP="00B77DCC">
      <w:pPr>
        <w:pStyle w:val="ListBullet2"/>
      </w:pPr>
      <w:r w:rsidRPr="00B77DCC">
        <w:t>vapour barriers</w:t>
      </w:r>
    </w:p>
    <w:p w:rsidR="00000000" w:rsidRPr="00B77DCC" w:rsidP="00B77DCC">
      <w:pPr>
        <w:pStyle w:val="ListBullet"/>
      </w:pPr>
      <w:r w:rsidRPr="00B77DCC">
        <w:t>concreting techniques, including:</w:t>
      </w:r>
    </w:p>
    <w:p w:rsidR="00000000" w:rsidRPr="00B77DCC" w:rsidP="00B77DCC">
      <w:pPr>
        <w:pStyle w:val="ListBullet2"/>
      </w:pPr>
      <w:r w:rsidRPr="00B77DCC">
        <w:t>placing</w:t>
      </w:r>
    </w:p>
    <w:p w:rsidR="00000000" w:rsidRPr="00B77DCC" w:rsidP="00B77DCC">
      <w:pPr>
        <w:pStyle w:val="ListBullet2"/>
      </w:pPr>
      <w:r w:rsidRPr="00B77DCC">
        <w:t>screeding</w:t>
      </w:r>
    </w:p>
    <w:p w:rsidR="00000000" w:rsidRPr="00B77DCC" w:rsidP="00B77DCC">
      <w:pPr>
        <w:pStyle w:val="ListBullet2"/>
      </w:pPr>
      <w:r w:rsidRPr="00B77DCC">
        <w:t>finishing</w:t>
      </w:r>
    </w:p>
    <w:p w:rsidR="00000000" w:rsidRPr="00B77DCC" w:rsidP="00B77DCC">
      <w:pPr>
        <w:pStyle w:val="ListBullet2"/>
      </w:pPr>
      <w:r w:rsidRPr="00B77DCC">
        <w:t>floating</w:t>
      </w:r>
    </w:p>
    <w:p w:rsidR="00000000" w:rsidRPr="00B77DCC" w:rsidP="00B77DCC">
      <w:pPr>
        <w:pStyle w:val="ListBullet"/>
      </w:pPr>
      <w:r w:rsidRPr="00B77DCC">
        <w:t>simple forms of concrete, including:</w:t>
      </w:r>
    </w:p>
    <w:p w:rsidR="00000000" w:rsidRPr="00B77DCC" w:rsidP="00B77DCC">
      <w:pPr>
        <w:pStyle w:val="ListBullet2"/>
      </w:pPr>
      <w:r w:rsidRPr="00B77DCC">
        <w:t xml:space="preserve">beam thickeners </w:t>
      </w:r>
    </w:p>
    <w:p w:rsidR="00000000" w:rsidRPr="00B77DCC" w:rsidP="00B77DCC">
      <w:pPr>
        <w:pStyle w:val="ListBullet2"/>
      </w:pPr>
      <w:r w:rsidRPr="00B77DCC">
        <w:t xml:space="preserve">channels </w:t>
      </w:r>
    </w:p>
    <w:p w:rsidR="00000000" w:rsidRPr="00B77DCC" w:rsidP="00B77DCC">
      <w:pPr>
        <w:pStyle w:val="ListBullet2"/>
      </w:pPr>
      <w:r w:rsidRPr="00B77DCC">
        <w:t>garden edges</w:t>
      </w:r>
    </w:p>
    <w:p w:rsidR="00000000" w:rsidRPr="00B77DCC" w:rsidP="00B77DCC">
      <w:pPr>
        <w:pStyle w:val="ListBullet2"/>
      </w:pPr>
      <w:r w:rsidRPr="00B77DCC">
        <w:t xml:space="preserve">pathways </w:t>
      </w:r>
    </w:p>
    <w:p w:rsidR="00000000" w:rsidRPr="00B77DCC" w:rsidP="00B77DCC">
      <w:pPr>
        <w:pStyle w:val="ListBullet2"/>
      </w:pPr>
      <w:r w:rsidRPr="00B77DCC">
        <w:t xml:space="preserve">post holes </w:t>
      </w:r>
    </w:p>
    <w:p w:rsidR="00000000" w:rsidRPr="00B77DCC" w:rsidP="00B77DCC">
      <w:pPr>
        <w:pStyle w:val="ListBullet2"/>
      </w:pPr>
      <w:r w:rsidRPr="00B77DCC">
        <w:t>simple concrete aprons and slabs</w:t>
      </w:r>
    </w:p>
    <w:p w:rsidR="00000000" w:rsidRPr="00B77DCC" w:rsidP="00B77DCC">
      <w:pPr>
        <w:pStyle w:val="ListBullet"/>
      </w:pPr>
      <w:r w:rsidRPr="00B77DCC">
        <w:t>finishing, including:</w:t>
      </w:r>
    </w:p>
    <w:p w:rsidR="00000000" w:rsidRPr="00B77DCC" w:rsidP="00B77DCC">
      <w:pPr>
        <w:pStyle w:val="ListBullet2"/>
      </w:pPr>
      <w:r w:rsidRPr="00B77DCC">
        <w:t>broomed</w:t>
      </w:r>
    </w:p>
    <w:p w:rsidR="00000000" w:rsidRPr="00B77DCC" w:rsidP="00B77DCC">
      <w:pPr>
        <w:pStyle w:val="ListBullet2"/>
      </w:pPr>
      <w:r w:rsidRPr="00B77DCC">
        <w:t>trowelled</w:t>
      </w:r>
    </w:p>
    <w:p w:rsidR="00000000" w:rsidRPr="00B77DCC" w:rsidP="00B77DCC">
      <w:pPr>
        <w:pStyle w:val="ListBullet2"/>
      </w:pPr>
      <w:r w:rsidRPr="00B77DCC">
        <w:t>trowelling machine finish</w:t>
      </w:r>
    </w:p>
    <w:p w:rsidR="00000000" w:rsidRPr="00B77DCC" w:rsidP="00B77DCC">
      <w:pPr>
        <w:pStyle w:val="ListBullet2"/>
      </w:pPr>
      <w:r w:rsidRPr="00B77DCC">
        <w:t>wood-floated</w:t>
      </w:r>
    </w:p>
    <w:p w:rsidR="00000000" w:rsidRPr="00B77DCC" w:rsidP="00B77DCC">
      <w:pPr>
        <w:pStyle w:val="ListBullet"/>
      </w:pPr>
      <w:r w:rsidRPr="00B77DCC">
        <w:t>properties and use of concrete relevant to concreting to simple forms, including:</w:t>
      </w:r>
    </w:p>
    <w:p w:rsidR="00000000" w:rsidRPr="00B77DCC" w:rsidP="00B77DCC">
      <w:pPr>
        <w:pStyle w:val="ListBullet2"/>
      </w:pPr>
      <w:r w:rsidRPr="00B77DCC">
        <w:t>uses and limitations at differing strength levels</w:t>
      </w:r>
    </w:p>
    <w:p w:rsidR="00000000" w:rsidRPr="00B77DCC" w:rsidP="00B77DCC">
      <w:pPr>
        <w:pStyle w:val="ListBullet2"/>
      </w:pPr>
      <w:r w:rsidRPr="00B77DCC">
        <w:t>ingredients and proportions</w:t>
      </w:r>
    </w:p>
    <w:p w:rsidR="00000000" w:rsidRPr="00B77DCC" w:rsidP="00B77DCC">
      <w:pPr>
        <w:pStyle w:val="ListBullet2"/>
      </w:pPr>
      <w:r w:rsidRPr="00B77DCC">
        <w:t>maintaining design strength during placement</w:t>
      </w:r>
    </w:p>
    <w:p w:rsidR="00000000" w:rsidRPr="00B77DCC" w:rsidP="00B77DCC">
      <w:pPr>
        <w:pStyle w:val="ListBullet2"/>
      </w:pPr>
      <w:r w:rsidRPr="00B77DCC">
        <w:t>mixing techniques</w:t>
      </w:r>
    </w:p>
    <w:p w:rsidR="00000000" w:rsidRPr="00B77DCC" w:rsidP="00B77DCC">
      <w:pPr>
        <w:pStyle w:val="ListBullet2"/>
      </w:pPr>
      <w:r w:rsidRPr="00B77DCC">
        <w:t>curing techniques</w:t>
      </w:r>
    </w:p>
    <w:p w:rsidR="00000000" w:rsidRPr="00B77DCC" w:rsidP="00B77DCC">
      <w:pPr>
        <w:pStyle w:val="ListBullet2"/>
      </w:pPr>
      <w:r w:rsidRPr="00B77DCC">
        <w:t>vibrating and over-vibration</w:t>
      </w:r>
    </w:p>
    <w:p w:rsidR="00000000" w:rsidRPr="00B77DCC" w:rsidP="00B77DCC">
      <w:pPr>
        <w:pStyle w:val="ListBullet"/>
      </w:pPr>
      <w:r w:rsidRPr="00B77DCC">
        <w:t>levelling techniques for concreting to simple forms</w:t>
      </w:r>
    </w:p>
    <w:p w:rsidR="00000000" w:rsidRPr="00B77DCC" w:rsidP="00B77DCC">
      <w:pPr>
        <w:pStyle w:val="ListBullet"/>
      </w:pPr>
      <w:r w:rsidRPr="00B77DCC">
        <w:t>materials storage and environmentally friendly waste management</w:t>
      </w:r>
    </w:p>
    <w:p w:rsidR="00000000" w:rsidRPr="00B77DCC" w:rsidP="00B77DCC">
      <w:pPr>
        <w:pStyle w:val="ListBullet"/>
      </w:pPr>
      <w:r w:rsidRPr="00B77DCC">
        <w:t>plans, drawings and specifications for concreting to simple forms</w:t>
      </w:r>
    </w:p>
    <w:p w:rsidR="00000000" w:rsidRPr="00B77DCC" w:rsidP="00B77DCC">
      <w:pPr>
        <w:pStyle w:val="ListBullet"/>
      </w:pPr>
      <w:r w:rsidRPr="00B77DCC">
        <w:t>processe</w:t>
      </w:r>
      <w:r w:rsidRPr="00B77DCC">
        <w:t>s for the calculation of material requirements for concreting to simple forms, including volume of concrete</w:t>
      </w:r>
    </w:p>
    <w:p w:rsidR="00000000" w:rsidRPr="00B77DCC" w:rsidP="00B77DCC">
      <w:pPr>
        <w:pStyle w:val="ListBullet"/>
      </w:pPr>
      <w:r w:rsidRPr="00B77DCC">
        <w:t>quality requirements for concreting to simple forms</w:t>
      </w:r>
    </w:p>
    <w:p w:rsidR="00000000" w:rsidRPr="00B77DCC" w:rsidP="00B77DCC">
      <w:pPr>
        <w:pStyle w:val="ListBullet"/>
      </w:pPr>
      <w:r w:rsidRPr="00B77DCC">
        <w:t>simple formwork and reinforcing componentry.</w:t>
      </w:r>
    </w:p>
    <w:p w:rsidR="00000000" w:rsidRPr="00B77DCC" w:rsidP="00B77DCC">
      <w:pPr>
        <w:pStyle w:val="AllowPageBreak"/>
      </w:pPr>
    </w:p>
    <w:p w:rsidR="00000000" w:rsidRPr="00B77DCC" w:rsidP="00B77DCC">
      <w:pPr>
        <w:pStyle w:val="Heading1"/>
      </w:pPr>
      <w:bookmarkStart w:id="4" w:name="O_1295111"/>
      <w:bookmarkEnd w:id="4"/>
      <w:r w:rsidRPr="00B77DCC">
        <w:t>Assessment Conditions</w:t>
      </w:r>
    </w:p>
    <w:p w:rsidR="00000000" w:rsidRPr="00B77DCC" w:rsidP="00CE06BB">
      <w:pPr>
        <w:pStyle w:val="BodyText"/>
      </w:pPr>
      <w:r w:rsidRPr="00B77DCC">
        <w:t xml:space="preserve">Assessors must meet the requirements for assessors contained in the Standards for Registered Training Organisations. </w:t>
      </w:r>
    </w:p>
    <w:p w:rsidR="00CE06BB" w:rsidP="00CE06BB">
      <w:pPr>
        <w:pStyle w:val="BodyText"/>
      </w:pPr>
      <w:r w:rsidRPr="00B77DCC">
        <w:t>This unit must be assessed in the workplace or a close simulation using realistic workplace conditions and standards, materials, activitie</w:t>
      </w:r>
      <w:r w:rsidRPr="00B77DCC">
        <w:t>s, responsibilities, procedures, safety requirements and environmental considerations.</w:t>
      </w:r>
    </w:p>
    <w:p w:rsidR="00000000" w:rsidRPr="00B77DCC" w:rsidP="00B77DCC">
      <w:pPr>
        <w:pStyle w:val="Heading1"/>
      </w:pPr>
      <w:bookmarkStart w:id="5" w:name="O_1295124"/>
      <w:bookmarkEnd w:id="5"/>
      <w:r w:rsidRPr="00B77DCC">
        <w:t>Links</w:t>
      </w:r>
    </w:p>
    <w:p w:rsidR="00000000" w:rsidRPr="00B77DCC" w:rsidP="00CE06BB">
      <w:pPr>
        <w:pStyle w:val="BodyText"/>
      </w:pPr>
      <w:r w:rsidRPr="00B77D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677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77DCC" w:rsidP="00B77DCC"/>
    <w:sectPr w:rsidSect="00B77D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C" w:rsidRPr="00CE06BB" w:rsidP="00CE0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BB" w:rsidP="00B77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6BB" w:rsidP="00B77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E06BB" w:rsidP="00B77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DCC" w:rsidRPr="00CE06BB" w:rsidP="00CE0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BB" w:rsidRPr="002D2AF8" w:rsidP="00B77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CPCCCO2013 Carry out concreting to simple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E06BB" w:rsidP="00B77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865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3EC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722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DCC"/>
  </w:style>
  <w:style w:type="character" w:customStyle="1" w:styleId="Heading1Char">
    <w:name w:val="Heading 1 Char"/>
    <w:basedOn w:val="DefaultParagraphFont"/>
    <w:link w:val="Heading1"/>
    <w:rsid w:val="00B77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D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7D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DCC"/>
    <w:rPr>
      <w:b/>
      <w:spacing w:val="0"/>
    </w:rPr>
  </w:style>
  <w:style w:type="paragraph" w:customStyle="1" w:styleId="SuperTitle">
    <w:name w:val="SuperTitle"/>
    <w:basedOn w:val="Title"/>
    <w:rsid w:val="00B77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D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DCC"/>
    <w:rPr>
      <w:i/>
    </w:rPr>
  </w:style>
  <w:style w:type="paragraph" w:styleId="Caption">
    <w:name w:val="caption"/>
    <w:basedOn w:val="BodyText"/>
    <w:next w:val="Normal"/>
    <w:qFormat/>
    <w:rsid w:val="00B77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DCC"/>
  </w:style>
  <w:style w:type="paragraph" w:styleId="TableofFigures">
    <w:name w:val="table of figures"/>
    <w:basedOn w:val="Normal"/>
    <w:next w:val="Normal"/>
    <w:semiHidden/>
    <w:rsid w:val="00B77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D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DCC"/>
    <w:rPr>
      <w:rFonts w:ascii="Wingdings" w:hAnsi="Wingdings"/>
    </w:rPr>
  </w:style>
  <w:style w:type="paragraph" w:customStyle="1" w:styleId="TableHeading">
    <w:name w:val="Table Heading"/>
    <w:basedOn w:val="HeadingBase"/>
    <w:rsid w:val="00B77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DCC"/>
    <w:rPr>
      <w:color w:val="0033CC"/>
      <w:u w:val="none"/>
    </w:rPr>
  </w:style>
  <w:style w:type="paragraph" w:customStyle="1" w:styleId="BodyTextRight">
    <w:name w:val="Body Text Right"/>
    <w:basedOn w:val="BodyText"/>
    <w:rsid w:val="00B77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D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DCC"/>
    <w:rPr>
      <w:sz w:val="32"/>
    </w:rPr>
  </w:style>
  <w:style w:type="paragraph" w:customStyle="1" w:styleId="HeadingProcedure">
    <w:name w:val="Heading Procedure"/>
    <w:basedOn w:val="HeadingBase"/>
    <w:next w:val="Normal"/>
    <w:rsid w:val="00B77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DCC"/>
    <w:pPr>
      <w:spacing w:before="60" w:after="60"/>
    </w:pPr>
  </w:style>
  <w:style w:type="paragraph" w:styleId="ListContinue">
    <w:name w:val="List Continue"/>
    <w:basedOn w:val="List"/>
    <w:rsid w:val="00B77DCC"/>
    <w:pPr>
      <w:ind w:firstLine="0"/>
    </w:pPr>
  </w:style>
  <w:style w:type="paragraph" w:customStyle="1" w:styleId="ListNote">
    <w:name w:val="List Note"/>
    <w:basedOn w:val="List"/>
    <w:rsid w:val="00B77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DCC"/>
    <w:rPr>
      <w:rFonts w:ascii="Courier New" w:hAnsi="Courier New"/>
    </w:rPr>
  </w:style>
  <w:style w:type="paragraph" w:customStyle="1" w:styleId="NoteBullet">
    <w:name w:val="Note Bullet"/>
    <w:basedOn w:val="Note"/>
    <w:rsid w:val="00B77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D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DCC"/>
    <w:rPr>
      <w:b/>
      <w:smallCaps/>
    </w:rPr>
  </w:style>
  <w:style w:type="paragraph" w:customStyle="1" w:styleId="TableListNumber">
    <w:name w:val="Table List Number"/>
    <w:basedOn w:val="ListNumber"/>
    <w:rsid w:val="00B77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DCC"/>
    <w:pPr>
      <w:numPr>
        <w:numId w:val="9"/>
      </w:numPr>
    </w:pPr>
  </w:style>
  <w:style w:type="paragraph" w:customStyle="1" w:styleId="ListAlpha2">
    <w:name w:val="List Alpha 2"/>
    <w:basedOn w:val="List2"/>
    <w:rsid w:val="00B77DCC"/>
    <w:pPr>
      <w:numPr>
        <w:numId w:val="8"/>
      </w:numPr>
    </w:pPr>
  </w:style>
  <w:style w:type="paragraph" w:styleId="List2">
    <w:name w:val="List 2"/>
    <w:basedOn w:val="BodyText"/>
    <w:rsid w:val="00B77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D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D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DCC"/>
    <w:pPr>
      <w:numPr>
        <w:numId w:val="4"/>
      </w:numPr>
    </w:pPr>
  </w:style>
  <w:style w:type="paragraph" w:styleId="ListContinue2">
    <w:name w:val="List Continue 2"/>
    <w:basedOn w:val="List2"/>
    <w:rsid w:val="00B77DCC"/>
    <w:pPr>
      <w:ind w:firstLine="0"/>
    </w:pPr>
  </w:style>
  <w:style w:type="paragraph" w:styleId="ListContinue3">
    <w:name w:val="List Continue 3"/>
    <w:basedOn w:val="List3"/>
    <w:rsid w:val="00B77DCC"/>
    <w:pPr>
      <w:ind w:left="1021" w:firstLine="0"/>
    </w:pPr>
  </w:style>
  <w:style w:type="paragraph" w:styleId="ListContinue4">
    <w:name w:val="List Continue 4"/>
    <w:basedOn w:val="List4"/>
    <w:rsid w:val="00B77DCC"/>
    <w:pPr>
      <w:ind w:firstLine="0"/>
    </w:pPr>
  </w:style>
  <w:style w:type="paragraph" w:styleId="ListContinue5">
    <w:name w:val="List Continue 5"/>
    <w:basedOn w:val="List5"/>
    <w:rsid w:val="00B77DCC"/>
    <w:pPr>
      <w:ind w:firstLine="0"/>
    </w:pPr>
  </w:style>
  <w:style w:type="paragraph" w:styleId="ListNumber3">
    <w:name w:val="List Number 3"/>
    <w:basedOn w:val="List3"/>
    <w:rsid w:val="00B77DCC"/>
    <w:pPr>
      <w:numPr>
        <w:numId w:val="5"/>
      </w:numPr>
    </w:pPr>
  </w:style>
  <w:style w:type="paragraph" w:styleId="ListNumber4">
    <w:name w:val="List Number 4"/>
    <w:basedOn w:val="List4"/>
    <w:rsid w:val="00B77DCC"/>
    <w:pPr>
      <w:numPr>
        <w:numId w:val="6"/>
      </w:numPr>
    </w:pPr>
  </w:style>
  <w:style w:type="paragraph" w:styleId="ListNumber5">
    <w:name w:val="List Number 5"/>
    <w:basedOn w:val="List5"/>
    <w:rsid w:val="00B77DCC"/>
    <w:pPr>
      <w:numPr>
        <w:numId w:val="7"/>
      </w:numPr>
    </w:pPr>
  </w:style>
  <w:style w:type="paragraph" w:styleId="BlockText">
    <w:name w:val="Block Text"/>
    <w:basedOn w:val="Normal"/>
    <w:rsid w:val="00B77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DCC"/>
    <w:rPr>
      <w:sz w:val="16"/>
      <w:vertAlign w:val="superscript"/>
    </w:rPr>
  </w:style>
  <w:style w:type="character" w:customStyle="1" w:styleId="Symbols">
    <w:name w:val="Symbols"/>
    <w:basedOn w:val="DefaultParagraphFont"/>
    <w:rsid w:val="00B77DCC"/>
    <w:rPr>
      <w:rFonts w:ascii="Symbol" w:hAnsi="Symbol"/>
    </w:rPr>
  </w:style>
  <w:style w:type="character" w:customStyle="1" w:styleId="MenuOptions">
    <w:name w:val="Menu Options"/>
    <w:basedOn w:val="DefaultParagraphFont"/>
    <w:rsid w:val="00B77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DCC"/>
    <w:rPr>
      <w:b/>
    </w:rPr>
  </w:style>
  <w:style w:type="character" w:customStyle="1" w:styleId="Underlined">
    <w:name w:val="Underlined"/>
    <w:basedOn w:val="DefaultParagraphFont"/>
    <w:rsid w:val="00B77DCC"/>
    <w:rPr>
      <w:u w:val="single"/>
    </w:rPr>
  </w:style>
  <w:style w:type="paragraph" w:customStyle="1" w:styleId="TableBodyTextRight">
    <w:name w:val="Table Body Text Right"/>
    <w:basedOn w:val="TableBodyText"/>
    <w:rsid w:val="00B77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DCC"/>
    <w:rPr>
      <w:sz w:val="18"/>
    </w:rPr>
  </w:style>
  <w:style w:type="paragraph" w:customStyle="1" w:styleId="BodySmallRight">
    <w:name w:val="Body Small Right"/>
    <w:basedOn w:val="BodyTextRight"/>
    <w:rsid w:val="00B77DCC"/>
    <w:rPr>
      <w:sz w:val="18"/>
      <w:szCs w:val="18"/>
    </w:rPr>
  </w:style>
  <w:style w:type="paragraph" w:customStyle="1" w:styleId="MarginEdition">
    <w:name w:val="Margin Edition"/>
    <w:basedOn w:val="MarginNote"/>
    <w:rsid w:val="00B77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DCC"/>
    <w:rPr>
      <w:sz w:val="2"/>
      <w:szCs w:val="2"/>
    </w:rPr>
  </w:style>
  <w:style w:type="character" w:customStyle="1" w:styleId="Small">
    <w:name w:val="Small"/>
    <w:basedOn w:val="DefaultParagraphFont"/>
    <w:rsid w:val="00B77DCC"/>
    <w:rPr>
      <w:sz w:val="16"/>
    </w:rPr>
  </w:style>
  <w:style w:type="paragraph" w:customStyle="1" w:styleId="WideTable">
    <w:name w:val="Wide Table"/>
    <w:basedOn w:val="Normal"/>
    <w:rsid w:val="00B77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DCC"/>
  </w:style>
  <w:style w:type="paragraph" w:styleId="Quote">
    <w:name w:val="Quote"/>
    <w:basedOn w:val="Heading1"/>
    <w:link w:val="QuoteChar"/>
    <w:qFormat/>
    <w:rsid w:val="00B77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DCC"/>
    <w:pPr>
      <w:pageBreakBefore/>
    </w:pPr>
  </w:style>
  <w:style w:type="paragraph" w:customStyle="1" w:styleId="Border">
    <w:name w:val="Border"/>
    <w:basedOn w:val="Normal"/>
    <w:qFormat/>
    <w:rsid w:val="00B77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DCC"/>
    <w:rPr>
      <w:u w:val="single"/>
    </w:rPr>
  </w:style>
  <w:style w:type="character" w:customStyle="1" w:styleId="BoldandItalics">
    <w:name w:val="Bold and Italics"/>
    <w:qFormat/>
    <w:rsid w:val="00B77DCC"/>
    <w:rPr>
      <w:b/>
      <w:i/>
      <w:u w:val="none"/>
    </w:rPr>
  </w:style>
  <w:style w:type="paragraph" w:styleId="BalloonText">
    <w:name w:val="Balloon Text"/>
    <w:basedOn w:val="Normal"/>
    <w:link w:val="BalloonTextChar"/>
    <w:rsid w:val="00B77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DCC"/>
    <w:pPr>
      <w:spacing w:before="0" w:after="0"/>
    </w:pPr>
  </w:style>
  <w:style w:type="paragraph" w:customStyle="1" w:styleId="BodyTextBold">
    <w:name w:val="Body Text Bold"/>
    <w:basedOn w:val="BodyText"/>
    <w:qFormat/>
    <w:rsid w:val="00B77DCC"/>
    <w:rPr>
      <w:b/>
    </w:rPr>
  </w:style>
  <w:style w:type="character" w:styleId="Hyperlink">
    <w:name w:val="Hyperlink"/>
    <w:basedOn w:val="DefaultParagraphFont"/>
    <w:uiPriority w:val="99"/>
    <w:unhideWhenUsed/>
    <w:rsid w:val="00CE0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3188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CPCCCO2013 Carry out concreting to simple forms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