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88F" w:rsidP="0062188F">
      <w:pPr>
        <w:pStyle w:val="Title"/>
      </w:pPr>
      <w:r>
        <w:fldChar w:fldCharType="begin"/>
      </w:r>
      <w:r>
        <w:instrText xml:space="preserve"> TITLE   \* MERGEFORMAT </w:instrText>
      </w:r>
      <w:r>
        <w:fldChar w:fldCharType="separate"/>
      </w:r>
      <w:r>
        <w:t>CPCCCM3001 Operate elevated work platforms up to 11 metres</w:t>
      </w:r>
      <w:r>
        <w:fldChar w:fldCharType="end"/>
      </w:r>
    </w:p>
    <w:p w:rsidR="0062188F" w:rsidP="0062188F">
      <w:pPr>
        <w:pStyle w:val="Version"/>
        <w:sectPr w:rsidSect="00C57E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57EA1" w:rsidP="00C57EA1">
      <w:pPr>
        <w:pStyle w:val="SuperHeading"/>
      </w:pPr>
      <w:r w:rsidRPr="00C57EA1">
        <w:t>CPCCCM3001 Operate elevated work platforms up to 11 metres</w:t>
      </w:r>
    </w:p>
    <w:p w:rsidR="00000000" w:rsidRPr="00C57EA1" w:rsidP="00C57EA1">
      <w:pPr>
        <w:pStyle w:val="Heading1"/>
      </w:pPr>
      <w:bookmarkStart w:id="1" w:name="O_1246503"/>
      <w:bookmarkEnd w:id="1"/>
      <w:r w:rsidRPr="00C57EA1">
        <w:t>Modification History</w:t>
      </w:r>
    </w:p>
    <w:tbl>
      <w:tblPr>
        <w:tblW w:w="0" w:type="auto"/>
        <w:tblLayout w:type="fixed"/>
        <w:tblCellMar>
          <w:left w:w="62" w:type="dxa"/>
          <w:right w:w="62" w:type="dxa"/>
        </w:tblCellMar>
        <w:tblLook w:val="0000"/>
      </w:tblPr>
      <w:tblGrid>
        <w:gridCol w:w="1128"/>
        <w:gridCol w:w="7944"/>
      </w:tblGrid>
      <w:tr w:rsidTr="00C57EA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Release 2</w:t>
            </w:r>
          </w:p>
        </w:tc>
        <w:tc>
          <w:tcPr>
            <w:tcW w:w="7944" w:type="dxa"/>
            <w:tcBorders>
              <w:top w:val="nil"/>
              <w:left w:val="nil"/>
              <w:bottom w:val="nil"/>
              <w:right w:val="nil"/>
            </w:tcBorders>
            <w:tcMar>
              <w:top w:w="0" w:type="dxa"/>
              <w:left w:w="62" w:type="dxa"/>
              <w:bottom w:w="0" w:type="dxa"/>
              <w:right w:w="62" w:type="dxa"/>
            </w:tcMar>
          </w:tcPr>
          <w:p w:rsidR="00000000" w:rsidRPr="00C57EA1" w:rsidP="00C57EA1">
            <w:pPr>
              <w:pStyle w:val="BodyText"/>
            </w:pPr>
            <w:r w:rsidRPr="00C57EA1">
              <w:t>This version first released with CPC Construction, Plumbing and Services Training Package Release 8.0.</w:t>
            </w:r>
          </w:p>
          <w:p w:rsidR="00000000" w:rsidP="00C57EA1">
            <w:pPr>
              <w:pStyle w:val="BodyText"/>
              <w:rPr>
                <w:lang w:val="en-NZ"/>
              </w:rPr>
            </w:pPr>
            <w:r w:rsidRPr="00C57EA1">
              <w:t>Changes to the Performance Evidence.</w:t>
            </w:r>
          </w:p>
        </w:tc>
      </w:tr>
      <w:tr w:rsidTr="00C57EA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Release 1</w:t>
            </w:r>
          </w:p>
        </w:tc>
        <w:tc>
          <w:tcPr>
            <w:tcW w:w="7944" w:type="dxa"/>
            <w:tcBorders>
              <w:top w:val="nil"/>
              <w:left w:val="nil"/>
              <w:bottom w:val="nil"/>
              <w:right w:val="nil"/>
            </w:tcBorders>
            <w:tcMar>
              <w:top w:w="0" w:type="dxa"/>
              <w:left w:w="62" w:type="dxa"/>
              <w:bottom w:w="0" w:type="dxa"/>
              <w:right w:w="62" w:type="dxa"/>
            </w:tcMar>
          </w:tcPr>
          <w:p w:rsidR="00000000" w:rsidRPr="00C57EA1" w:rsidP="00C57EA1">
            <w:pPr>
              <w:pStyle w:val="BodyText"/>
            </w:pPr>
            <w:r w:rsidRPr="00C57EA1">
              <w:t>This version first released with CPC Construction, Plum</w:t>
            </w:r>
            <w:r w:rsidRPr="00C57EA1">
              <w:t>bing and Services Training Package Version 2.</w:t>
            </w:r>
          </w:p>
          <w:p w:rsidR="00000000" w:rsidRPr="00C57EA1" w:rsidP="00C57EA1">
            <w:pPr>
              <w:pStyle w:val="BodyText"/>
            </w:pPr>
            <w:r w:rsidRPr="00C57EA1">
              <w:t>Revised unit of competency. Replaces superseded equivalent CPCCCM3001C Operate elevated work platforms.</w:t>
            </w:r>
          </w:p>
        </w:tc>
      </w:tr>
    </w:tbl>
    <w:p w:rsidR="00000000" w:rsidRPr="00C57EA1" w:rsidP="00C57EA1">
      <w:pPr>
        <w:pStyle w:val="BodyText"/>
      </w:pPr>
    </w:p>
    <w:p w:rsidR="00000000" w:rsidRPr="00C57EA1" w:rsidP="00C57EA1">
      <w:pPr>
        <w:pStyle w:val="AllowPageBreak"/>
      </w:pPr>
    </w:p>
    <w:p w:rsidR="00000000" w:rsidRPr="00C57EA1" w:rsidP="00C57EA1">
      <w:pPr>
        <w:pStyle w:val="Heading1"/>
      </w:pPr>
      <w:bookmarkStart w:id="2" w:name="O_1246502"/>
      <w:bookmarkEnd w:id="2"/>
      <w:r w:rsidRPr="00C57EA1">
        <w:t>Application</w:t>
      </w:r>
    </w:p>
    <w:p w:rsidR="00000000" w:rsidRPr="00C57EA1" w:rsidP="0062188F">
      <w:pPr>
        <w:pStyle w:val="BodyText"/>
      </w:pPr>
      <w:r w:rsidRPr="00C57EA1">
        <w:t>This unit of competency specifies the outcomes required to operate specif</w:t>
      </w:r>
      <w:r w:rsidRPr="00C57EA1">
        <w:t xml:space="preserve">ic types of elevated work platforms (EWPs) safely and effectively in different locations, including on uneven terrain. The unit includes locating, setting up, operating and shutting down scissor lifts and self-propelled boom lifts with a boom length under </w:t>
      </w:r>
      <w:r w:rsidRPr="00C57EA1">
        <w:t>11 metres.</w:t>
      </w:r>
    </w:p>
    <w:p w:rsidR="00000000" w:rsidRPr="00C57EA1" w:rsidP="0062188F">
      <w:pPr>
        <w:pStyle w:val="BodyText"/>
      </w:pPr>
      <w:r w:rsidRPr="00C57EA1">
        <w:t xml:space="preserve">The unit supports construction workers in the safe and effective operation of electrical, hydraulic and mechanical EWPs. </w:t>
      </w:r>
    </w:p>
    <w:p w:rsidR="00000000" w:rsidRPr="00C57EA1" w:rsidP="0062188F">
      <w:pPr>
        <w:pStyle w:val="BodyText"/>
      </w:pPr>
      <w:r w:rsidRPr="00C57EA1">
        <w:t>The unit does not cover truck-mounted EWPs, powered telescoping devices, hinged devices or articulated devices, or any co</w:t>
      </w:r>
      <w:r w:rsidRPr="00C57EA1">
        <w:t xml:space="preserve">mbination of these used to support a platform on which personnel, equipment and materials may be elevated to perform work and which has a boom length of 11 metres or more. </w:t>
      </w:r>
    </w:p>
    <w:p w:rsidR="00000000" w:rsidRPr="00C57EA1" w:rsidP="0062188F">
      <w:pPr>
        <w:pStyle w:val="BodyText"/>
      </w:pPr>
      <w:r w:rsidRPr="00C57EA1">
        <w:t>It applies to construction work on residential and commercial work sites in new co</w:t>
      </w:r>
      <w:r w:rsidRPr="00C57EA1">
        <w:t xml:space="preserve">nstruction, renovation or refurbishment, and maintenance projects. </w:t>
      </w:r>
    </w:p>
    <w:p w:rsidR="00000000" w:rsidRPr="00C57EA1" w:rsidP="0062188F">
      <w:pPr>
        <w:pStyle w:val="BodyText"/>
      </w:pPr>
      <w:r w:rsidRPr="00C57EA1">
        <w:t>Licensing, legislative, regulatory or certification requirements apply to this unit in some States. Relevant state and territory regulatory authoritie</w:t>
      </w:r>
      <w:r w:rsidRPr="00C57EA1">
        <w:t>s should be consulted to confirm those requirements.</w:t>
      </w:r>
    </w:p>
    <w:p w:rsidR="00000000" w:rsidRPr="00C57EA1" w:rsidP="00C57EA1">
      <w:pPr>
        <w:pStyle w:val="Heading1"/>
      </w:pPr>
      <w:bookmarkStart w:id="3" w:name="O_1246501"/>
      <w:bookmarkEnd w:id="3"/>
      <w:r w:rsidRPr="00C57EA1">
        <w:t>Pre-requisite Unit</w:t>
      </w:r>
    </w:p>
    <w:p w:rsidR="00000000" w:rsidRPr="00C57EA1" w:rsidP="0062188F">
      <w:pPr>
        <w:pStyle w:val="BodyText"/>
      </w:pPr>
      <w:r w:rsidRPr="00C57EA1">
        <w:t>Nil</w:t>
      </w:r>
    </w:p>
    <w:p w:rsidR="00000000" w:rsidRPr="00C57EA1" w:rsidP="00C57EA1">
      <w:pPr>
        <w:pStyle w:val="Heading1"/>
      </w:pPr>
      <w:bookmarkStart w:id="4" w:name="O_1246500"/>
      <w:bookmarkEnd w:id="4"/>
      <w:r w:rsidRPr="00C57EA1">
        <w:t>Competency Field</w:t>
      </w:r>
    </w:p>
    <w:p w:rsidR="00000000" w:rsidRPr="00C57EA1" w:rsidP="0062188F">
      <w:pPr>
        <w:pStyle w:val="BodyText"/>
      </w:pPr>
      <w:r w:rsidRPr="00C57EA1">
        <w:t>Common</w:t>
      </w:r>
    </w:p>
    <w:p w:rsidR="00000000" w:rsidRPr="00C57EA1" w:rsidP="00C57EA1">
      <w:pPr>
        <w:pStyle w:val="Heading1"/>
      </w:pPr>
      <w:bookmarkStart w:id="5" w:name="O_1246499"/>
      <w:bookmarkEnd w:id="5"/>
      <w:r w:rsidRPr="00C57EA1">
        <w:t>Unit Sector</w:t>
      </w:r>
    </w:p>
    <w:p w:rsidR="00000000" w:rsidRPr="00C57EA1" w:rsidP="0062188F">
      <w:pPr>
        <w:pStyle w:val="BodyText"/>
      </w:pPr>
      <w:r w:rsidRPr="00C57EA1">
        <w:t>Construction</w:t>
      </w:r>
    </w:p>
    <w:p w:rsidR="00000000" w:rsidRPr="00C57EA1" w:rsidP="00C57EA1">
      <w:pPr>
        <w:pStyle w:val="Heading1"/>
      </w:pPr>
      <w:bookmarkStart w:id="6" w:name="O_1246498"/>
      <w:bookmarkEnd w:id="6"/>
      <w:r w:rsidRPr="00C57EA1">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C57EA1">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Elements describe the</w:t>
            </w:r>
            <w:r w:rsidRPr="00C57EA1">
              <w:t xml:space="preserv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Performance criteria describe the performance needed to demonstrate achievement of the element. Where bold italicised text is used, further information is detailed in the range of conditions.</w:t>
            </w:r>
          </w:p>
        </w:tc>
      </w:tr>
      <w:tr w:rsidTr="00C57E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1.</w:t>
            </w:r>
          </w:p>
        </w:tc>
        <w:tc>
          <w:tcPr>
            <w:tcW w:w="1962" w:type="dxa"/>
            <w:vMerge w:val="restart"/>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Plan and prepare.</w:t>
            </w:r>
          </w:p>
        </w:tc>
        <w:tc>
          <w:tcPr>
            <w:tcW w:w="77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1.1.</w:t>
            </w: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 xml:space="preserve">Job requirements are obtained, confirmed and applied to planning. </w:t>
            </w:r>
          </w:p>
        </w:tc>
      </w:tr>
      <w:tr w:rsidTr="00C57E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1.2.</w:t>
            </w: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Work site is inspected and terrain level checked to determine stabilising and safe working area requirements.</w:t>
            </w:r>
          </w:p>
        </w:tc>
      </w:tr>
      <w:tr w:rsidTr="00C57E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1.3</w:t>
            </w: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Work site conditions and hazards are assessed and site health an</w:t>
            </w:r>
            <w:r w:rsidRPr="00C57EA1">
              <w:t>d safety requirements confirmed and applied to planning.</w:t>
            </w:r>
          </w:p>
        </w:tc>
      </w:tr>
      <w:tr w:rsidTr="00C57E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57EA1" w:rsidP="00C57EA1">
            <w:pPr>
              <w:pStyle w:val="BodyText"/>
            </w:pPr>
            <w:r w:rsidRPr="00C57EA1">
              <w:t>1.4</w:t>
            </w: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rPr>
                <w:rStyle w:val="BoldandItalics"/>
              </w:rPr>
              <w:t>Safe work method statement</w:t>
            </w:r>
            <w:r w:rsidRPr="00C57EA1">
              <w:t xml:space="preserve"> (SWMS) for the type of EWP and job and work site requirements is reviewed with relevant personnel and confirmed. </w:t>
            </w:r>
          </w:p>
        </w:tc>
      </w:tr>
      <w:tr w:rsidTr="00C57E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1.5.</w:t>
            </w: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 xml:space="preserve">Plant, tools and equipment, including personal protective equipment (PPE), are selected according to job requirements, checked for serviceability, and faults are rectified or reported before starting work. </w:t>
            </w:r>
          </w:p>
        </w:tc>
      </w:tr>
      <w:tr w:rsidTr="00C57E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1.6.</w:t>
            </w: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Materials appropriate to the work applica</w:t>
            </w:r>
            <w:r w:rsidRPr="00C57EA1">
              <w:t xml:space="preserve">tion are identified, obtained, prepared, safely handled and located ready for use. </w:t>
            </w:r>
          </w:p>
        </w:tc>
      </w:tr>
      <w:tr w:rsidTr="00C57E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1.7.</w:t>
            </w: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Verbal and non-verbal communication signals are confirmed with team members, supervisor, and other personnel working on site, as required.</w:t>
            </w:r>
          </w:p>
        </w:tc>
      </w:tr>
      <w:tr w:rsidTr="00C57E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1.8.</w:t>
            </w: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Rescue plan, including use of fall arrest system, is established and practised before using EWP.</w:t>
            </w:r>
          </w:p>
        </w:tc>
      </w:tr>
      <w:tr w:rsidTr="00C57E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p>
        </w:tc>
      </w:tr>
      <w:tr w:rsidTr="00C57E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2.</w:t>
            </w:r>
          </w:p>
        </w:tc>
        <w:tc>
          <w:tcPr>
            <w:tcW w:w="1962" w:type="dxa"/>
            <w:vMerge w:val="restart"/>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Conduct routine checks of EWP.</w:t>
            </w:r>
          </w:p>
        </w:tc>
        <w:tc>
          <w:tcPr>
            <w:tcW w:w="77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2.1.</w:t>
            </w: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Power source is connected to platform equipment according to manufacturer specifications.</w:t>
            </w:r>
          </w:p>
        </w:tc>
      </w:tr>
      <w:tr w:rsidTr="00C57E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2.2.</w:t>
            </w: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Routine pre-operational equipment checks are carried out according to operator manual or manufacturer specifications, and logbooks for defect checks and EWP maintenance schedules.</w:t>
            </w:r>
          </w:p>
        </w:tc>
      </w:tr>
      <w:tr w:rsidTr="00C57E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2.3.</w:t>
            </w: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Equipment is switched on in line with start-up procedures, and contr</w:t>
            </w:r>
            <w:r w:rsidRPr="00C57EA1">
              <w:t>ols are checked for correct operation and ease of movement.</w:t>
            </w:r>
          </w:p>
        </w:tc>
      </w:tr>
      <w:tr w:rsidTr="00C57E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2.4.</w:t>
            </w: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 xml:space="preserve">EWP is checked to ensure that </w:t>
            </w:r>
            <w:r w:rsidRPr="00C57EA1">
              <w:rPr>
                <w:rStyle w:val="BoldandItalics"/>
              </w:rPr>
              <w:t>emergency safety devices</w:t>
            </w:r>
            <w:r w:rsidRPr="00C57EA1">
              <w:rPr>
                <w:rStyle w:val="SpecialBold"/>
              </w:rPr>
              <w:t xml:space="preserve"> </w:t>
            </w:r>
            <w:r w:rsidRPr="00C57EA1">
              <w:t>specified in operator manual are present and operating correctly.</w:t>
            </w:r>
          </w:p>
        </w:tc>
      </w:tr>
      <w:tr w:rsidTr="00C57E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p>
        </w:tc>
      </w:tr>
      <w:tr w:rsidTr="00C57E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3.</w:t>
            </w:r>
          </w:p>
        </w:tc>
        <w:tc>
          <w:tcPr>
            <w:tcW w:w="1962" w:type="dxa"/>
            <w:vMerge w:val="restart"/>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Locate EWP in place.</w:t>
            </w:r>
          </w:p>
        </w:tc>
        <w:tc>
          <w:tcPr>
            <w:tcW w:w="77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3.1.</w:t>
            </w: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 xml:space="preserve">Platform is positioned for work application and stabilisers, if fitted, are engaged to set equipment base level into place according to safe operating procedures. </w:t>
            </w:r>
          </w:p>
        </w:tc>
      </w:tr>
      <w:tr w:rsidTr="00C57E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3.2.</w:t>
            </w: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Tools, equipment and materials are placed into bucket or on platform according to jo</w:t>
            </w:r>
            <w:r w:rsidRPr="00C57EA1">
              <w:t>b application requirements.</w:t>
            </w:r>
          </w:p>
        </w:tc>
      </w:tr>
      <w:tr w:rsidTr="00C57E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p>
        </w:tc>
      </w:tr>
      <w:tr w:rsidTr="00C57EA1">
        <w:tblPrEx>
          <w:tblW w:w="0" w:type="auto"/>
          <w:tblLayout w:type="fixed"/>
          <w:tblCellMar>
            <w:left w:w="62" w:type="dxa"/>
            <w:right w:w="62" w:type="dxa"/>
          </w:tblCellMar>
          <w:tblLook w:val="0000"/>
        </w:tblPrEx>
        <w:trPr>
          <w:trHeight w:val="709"/>
        </w:trPr>
        <w:tc>
          <w:tcPr>
            <w:tcW w:w="616"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4.</w:t>
            </w:r>
          </w:p>
        </w:tc>
        <w:tc>
          <w:tcPr>
            <w:tcW w:w="1962" w:type="dxa"/>
            <w:vMerge w:val="restart"/>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Elevate platform to work location.</w:t>
            </w:r>
          </w:p>
        </w:tc>
        <w:tc>
          <w:tcPr>
            <w:tcW w:w="77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4.1.</w:t>
            </w: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Fall arrest harness is fitted securely and lanyard is  connected to attachment point.</w:t>
            </w:r>
          </w:p>
        </w:tc>
      </w:tr>
      <w:tr w:rsidTr="00C57EA1">
        <w:tblPrEx>
          <w:tblW w:w="0" w:type="auto"/>
          <w:tblLayout w:type="fixed"/>
          <w:tblCellMar>
            <w:left w:w="62" w:type="dxa"/>
            <w:right w:w="62" w:type="dxa"/>
          </w:tblCellMar>
          <w:tblLook w:val="0000"/>
        </w:tblPrEx>
        <w:trPr>
          <w:trHeight w:val="709"/>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4.2.</w:t>
            </w: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EWP controls are operated according to manufacturer recommendations and platform i</w:t>
            </w:r>
            <w:r w:rsidRPr="00C57EA1">
              <w:t>s elevated to work position.</w:t>
            </w:r>
          </w:p>
        </w:tc>
      </w:tr>
      <w:tr w:rsidTr="00C57EA1">
        <w:tblPrEx>
          <w:tblW w:w="0" w:type="auto"/>
          <w:tblLayout w:type="fixed"/>
          <w:tblCellMar>
            <w:left w:w="62" w:type="dxa"/>
            <w:right w:w="62" w:type="dxa"/>
          </w:tblCellMar>
          <w:tblLook w:val="0000"/>
        </w:tblPrEx>
        <w:trPr>
          <w:trHeight w:val="709"/>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4.3.</w:t>
            </w: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Power is switched off where specified and locking devices are engaged according to operator manual.</w:t>
            </w:r>
          </w:p>
        </w:tc>
      </w:tr>
      <w:tr w:rsidTr="00C57EA1">
        <w:tblPrEx>
          <w:tblW w:w="0" w:type="auto"/>
          <w:tblLayout w:type="fixed"/>
          <w:tblCellMar>
            <w:left w:w="62" w:type="dxa"/>
            <w:right w:w="62" w:type="dxa"/>
          </w:tblCellMar>
          <w:tblLook w:val="0000"/>
        </w:tblPrEx>
        <w:trPr>
          <w:trHeight w:val="709"/>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4.4.</w:t>
            </w: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Work is carried out according to job specification, operator manual, and health and safety requirements.</w:t>
            </w:r>
          </w:p>
        </w:tc>
      </w:tr>
      <w:tr w:rsidTr="00C57EA1">
        <w:tblPrEx>
          <w:tblW w:w="0" w:type="auto"/>
          <w:tblLayout w:type="fixed"/>
          <w:tblCellMar>
            <w:left w:w="62" w:type="dxa"/>
            <w:right w:w="62" w:type="dxa"/>
          </w:tblCellMar>
          <w:tblLook w:val="0000"/>
        </w:tblPrEx>
        <w:trPr>
          <w:trHeight w:val="709"/>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p>
        </w:tc>
      </w:tr>
      <w:tr w:rsidTr="00C57EA1">
        <w:tblPrEx>
          <w:tblW w:w="0" w:type="auto"/>
          <w:tblLayout w:type="fixed"/>
          <w:tblCellMar>
            <w:left w:w="62" w:type="dxa"/>
            <w:right w:w="62" w:type="dxa"/>
          </w:tblCellMar>
          <w:tblLook w:val="0000"/>
        </w:tblPrEx>
        <w:trPr>
          <w:trHeight w:val="709"/>
        </w:trPr>
        <w:tc>
          <w:tcPr>
            <w:tcW w:w="616"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5.</w:t>
            </w:r>
          </w:p>
        </w:tc>
        <w:tc>
          <w:tcPr>
            <w:tcW w:w="1962"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Lower platform and shut down.</w:t>
            </w:r>
          </w:p>
        </w:tc>
        <w:tc>
          <w:tcPr>
            <w:tcW w:w="77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5.1.</w:t>
            </w: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Controls are operated according to manufacturer recommendations and platform is lowered to down position.</w:t>
            </w:r>
          </w:p>
        </w:tc>
      </w:tr>
      <w:tr w:rsidTr="00C57EA1">
        <w:tblPrEx>
          <w:tblW w:w="0" w:type="auto"/>
          <w:tblLayout w:type="fixed"/>
          <w:tblCellMar>
            <w:left w:w="62" w:type="dxa"/>
            <w:right w:w="62" w:type="dxa"/>
          </w:tblCellMar>
          <w:tblLook w:val="0000"/>
        </w:tblPrEx>
        <w:trPr>
          <w:trHeight w:val="709"/>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5.2.</w:t>
            </w: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Shut-down procedures are carried out according to operator manual instructions and equipment is switched</w:t>
            </w:r>
            <w:r w:rsidRPr="00C57EA1">
              <w:t xml:space="preserve"> off.</w:t>
            </w:r>
          </w:p>
        </w:tc>
      </w:tr>
      <w:tr w:rsidTr="00C57EA1">
        <w:tblPrEx>
          <w:tblW w:w="0" w:type="auto"/>
          <w:tblLayout w:type="fixed"/>
          <w:tblCellMar>
            <w:left w:w="62" w:type="dxa"/>
            <w:right w:w="62" w:type="dxa"/>
          </w:tblCellMar>
          <w:tblLook w:val="0000"/>
        </w:tblPrEx>
        <w:trPr>
          <w:trHeight w:val="709"/>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p>
        </w:tc>
      </w:tr>
      <w:tr w:rsidTr="00C57EA1">
        <w:tblPrEx>
          <w:tblW w:w="0" w:type="auto"/>
          <w:tblLayout w:type="fixed"/>
          <w:tblCellMar>
            <w:left w:w="62" w:type="dxa"/>
            <w:right w:w="62" w:type="dxa"/>
          </w:tblCellMar>
          <w:tblLook w:val="0000"/>
        </w:tblPrEx>
        <w:trPr>
          <w:trHeight w:val="709"/>
        </w:trPr>
        <w:tc>
          <w:tcPr>
            <w:tcW w:w="616"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6.</w:t>
            </w:r>
          </w:p>
        </w:tc>
        <w:tc>
          <w:tcPr>
            <w:tcW w:w="1962" w:type="dxa"/>
            <w:vMerge w:val="restart"/>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Clean up.</w:t>
            </w:r>
          </w:p>
        </w:tc>
        <w:tc>
          <w:tcPr>
            <w:tcW w:w="77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6.1.</w:t>
            </w: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Work area is cleared and materials disposed of, reused or recycled according to legislation, regulations, codes of practice, and job specifications.</w:t>
            </w:r>
          </w:p>
        </w:tc>
      </w:tr>
      <w:tr w:rsidTr="00C57EA1">
        <w:tblPrEx>
          <w:tblW w:w="0" w:type="auto"/>
          <w:tblLayout w:type="fixed"/>
          <w:tblCellMar>
            <w:left w:w="62" w:type="dxa"/>
            <w:right w:w="62" w:type="dxa"/>
          </w:tblCellMar>
          <w:tblLook w:val="0000"/>
        </w:tblPrEx>
        <w:trPr>
          <w:trHeight w:val="709"/>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6.2.</w:t>
            </w:r>
          </w:p>
        </w:tc>
        <w:tc>
          <w:tcPr>
            <w:tcW w:w="561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EWP, tools and equipment are cleaned, checked, maintained and stored according to manufacturer recommendations and standard work practices.</w:t>
            </w:r>
          </w:p>
        </w:tc>
      </w:tr>
      <w:tr w:rsidTr="00C57EA1">
        <w:tblPrEx>
          <w:tblW w:w="0" w:type="auto"/>
          <w:tblLayout w:type="fixed"/>
          <w:tblCellMar>
            <w:left w:w="62" w:type="dxa"/>
            <w:right w:w="62" w:type="dxa"/>
          </w:tblCellMar>
          <w:tblLook w:val="0000"/>
        </w:tblPrEx>
        <w:trPr>
          <w:trHeight w:val="709"/>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57EA1" w:rsidP="00C57EA1">
            <w:pPr>
              <w:pStyle w:val="BodyText"/>
            </w:pPr>
            <w:r w:rsidRPr="00C57EA1">
              <w:t>6.3.</w:t>
            </w:r>
          </w:p>
        </w:tc>
        <w:tc>
          <w:tcPr>
            <w:tcW w:w="5610" w:type="dxa"/>
            <w:tcBorders>
              <w:top w:val="nil"/>
              <w:left w:val="nil"/>
              <w:bottom w:val="nil"/>
              <w:right w:val="nil"/>
            </w:tcBorders>
            <w:tcMar>
              <w:top w:w="0" w:type="dxa"/>
              <w:left w:w="62" w:type="dxa"/>
              <w:bottom w:w="0" w:type="dxa"/>
              <w:right w:w="62" w:type="dxa"/>
            </w:tcMar>
          </w:tcPr>
          <w:p w:rsidR="00000000" w:rsidRPr="00C57EA1" w:rsidP="00C57EA1">
            <w:pPr>
              <w:pStyle w:val="BodyText"/>
            </w:pPr>
            <w:r w:rsidRPr="00C57EA1">
              <w:rPr>
                <w:rStyle w:val="BoldandItalics"/>
              </w:rPr>
              <w:t>Work completion procedures</w:t>
            </w:r>
            <w:r w:rsidRPr="00C57EA1">
              <w:t xml:space="preserve"> are applied and relevant personnel notified that work is finished.</w:t>
            </w:r>
          </w:p>
        </w:tc>
      </w:tr>
    </w:tbl>
    <w:p w:rsidR="00000000" w:rsidRPr="00C57EA1" w:rsidP="00C57EA1">
      <w:pPr>
        <w:pStyle w:val="BodyText"/>
      </w:pPr>
    </w:p>
    <w:p w:rsidR="00000000" w:rsidRPr="00C57EA1" w:rsidP="00C57EA1">
      <w:pPr>
        <w:pStyle w:val="AllowPageBreak"/>
      </w:pPr>
    </w:p>
    <w:p w:rsidR="00000000" w:rsidRPr="00C57EA1" w:rsidP="00C57EA1">
      <w:pPr>
        <w:pStyle w:val="Heading1"/>
      </w:pPr>
      <w:bookmarkStart w:id="7" w:name="O_1246497"/>
      <w:bookmarkEnd w:id="7"/>
      <w:r w:rsidRPr="00C57EA1">
        <w:t>Foundation Skills</w:t>
      </w:r>
    </w:p>
    <w:tbl>
      <w:tblPr>
        <w:tblW w:w="0" w:type="auto"/>
        <w:tblLayout w:type="fixed"/>
        <w:tblCellMar>
          <w:left w:w="62" w:type="dxa"/>
          <w:right w:w="62" w:type="dxa"/>
        </w:tblCellMar>
        <w:tblLook w:val="0000"/>
      </w:tblPr>
      <w:tblGrid>
        <w:gridCol w:w="2760"/>
        <w:gridCol w:w="6312"/>
      </w:tblGrid>
      <w:tr w:rsidTr="00C57EA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This section describes the language, literacy, numeracy and employment skills essential to performance in this unit but not explicit in the performance criteria.</w:t>
            </w:r>
          </w:p>
        </w:tc>
      </w:tr>
      <w:tr w:rsidTr="00C57E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57EA1" w:rsidP="00C57EA1">
            <w:pPr>
              <w:pStyle w:val="BodyText"/>
            </w:pPr>
            <w:r w:rsidRPr="00C57EA1">
              <w:rPr>
                <w:rStyle w:val="SpecialBold"/>
              </w:rPr>
              <w:t>Skill</w:t>
            </w:r>
          </w:p>
        </w:tc>
        <w:tc>
          <w:tcPr>
            <w:tcW w:w="6312"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rPr>
                <w:rStyle w:val="SpecialBold"/>
              </w:rPr>
              <w:t xml:space="preserve">Performance feature </w:t>
            </w:r>
          </w:p>
        </w:tc>
      </w:tr>
      <w:tr w:rsidTr="00C57E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Numeracy skills to:</w:t>
            </w:r>
          </w:p>
        </w:tc>
        <w:tc>
          <w:tcPr>
            <w:tcW w:w="6312" w:type="dxa"/>
            <w:tcBorders>
              <w:top w:val="nil"/>
              <w:left w:val="nil"/>
              <w:bottom w:val="nil"/>
              <w:right w:val="nil"/>
            </w:tcBorders>
            <w:tcMar>
              <w:top w:w="0" w:type="dxa"/>
              <w:left w:w="62" w:type="dxa"/>
              <w:bottom w:w="0" w:type="dxa"/>
              <w:right w:w="62" w:type="dxa"/>
            </w:tcMar>
          </w:tcPr>
          <w:p w:rsidR="00000000" w:rsidRPr="00C57EA1" w:rsidP="00C57EA1">
            <w:pPr>
              <w:pStyle w:val="ListBullet"/>
            </w:pPr>
            <w:r w:rsidRPr="00C57EA1">
              <w:t>interpret safe working load of EWP from manufacturer specifications</w:t>
            </w:r>
          </w:p>
          <w:p w:rsidR="00000000" w:rsidRPr="00C57EA1" w:rsidP="00C57EA1">
            <w:pPr>
              <w:pStyle w:val="ListBullet"/>
            </w:pPr>
            <w:r w:rsidRPr="00C57EA1">
              <w:t>calculate the load to be put on EWP.</w:t>
            </w:r>
          </w:p>
          <w:p w:rsidR="00000000" w:rsidP="00C57EA1">
            <w:pPr>
              <w:pStyle w:val="BodyText"/>
              <w:rPr>
                <w:lang w:val="en-NZ"/>
              </w:rPr>
            </w:pPr>
          </w:p>
        </w:tc>
      </w:tr>
      <w:tr w:rsidTr="00C57E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Oral communication skills to:</w:t>
            </w:r>
          </w:p>
        </w:tc>
        <w:tc>
          <w:tcPr>
            <w:tcW w:w="6312" w:type="dxa"/>
            <w:tcBorders>
              <w:top w:val="nil"/>
              <w:left w:val="nil"/>
              <w:bottom w:val="nil"/>
              <w:right w:val="nil"/>
            </w:tcBorders>
            <w:tcMar>
              <w:top w:w="0" w:type="dxa"/>
              <w:left w:w="62" w:type="dxa"/>
              <w:bottom w:w="0" w:type="dxa"/>
              <w:right w:w="62" w:type="dxa"/>
            </w:tcMar>
          </w:tcPr>
          <w:p w:rsidR="00000000" w:rsidRPr="00C57EA1" w:rsidP="00C57EA1">
            <w:pPr>
              <w:pStyle w:val="ListBullet"/>
            </w:pPr>
            <w:r w:rsidRPr="00C57EA1">
              <w:t>provide work site personnel with key safety information when elevating and lowering an EWP</w:t>
            </w:r>
          </w:p>
          <w:p w:rsidR="00000000" w:rsidRPr="00C57EA1" w:rsidP="00C57EA1">
            <w:pPr>
              <w:pStyle w:val="ListBullet"/>
            </w:pPr>
            <w:r w:rsidRPr="00C57EA1">
              <w:t>use listening and questioning to clarify job and health and safety requirements.</w:t>
            </w:r>
          </w:p>
          <w:p w:rsidR="00000000" w:rsidP="00C57EA1">
            <w:pPr>
              <w:pStyle w:val="BodyText"/>
              <w:rPr>
                <w:lang w:val="en-NZ"/>
              </w:rPr>
            </w:pPr>
          </w:p>
        </w:tc>
      </w:tr>
      <w:tr w:rsidTr="00C57E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Reading skills to:</w:t>
            </w:r>
          </w:p>
        </w:tc>
        <w:tc>
          <w:tcPr>
            <w:tcW w:w="6312" w:type="dxa"/>
            <w:tcBorders>
              <w:top w:val="nil"/>
              <w:left w:val="nil"/>
              <w:bottom w:val="nil"/>
              <w:right w:val="nil"/>
            </w:tcBorders>
            <w:tcMar>
              <w:top w:w="0" w:type="dxa"/>
              <w:left w:w="62" w:type="dxa"/>
              <w:bottom w:w="0" w:type="dxa"/>
              <w:right w:w="62" w:type="dxa"/>
            </w:tcMar>
          </w:tcPr>
          <w:p w:rsidR="00000000" w:rsidRPr="00C57EA1" w:rsidP="00C57EA1">
            <w:pPr>
              <w:pStyle w:val="ListBullet"/>
            </w:pPr>
            <w:r w:rsidRPr="00C57EA1">
              <w:t>interpret operator manual instructions for using different controls of EWPs and operating on different types of terrain.</w:t>
            </w:r>
          </w:p>
          <w:p w:rsidR="00000000" w:rsidP="00C57EA1">
            <w:pPr>
              <w:pStyle w:val="BodyText"/>
              <w:rPr>
                <w:lang w:val="en-NZ"/>
              </w:rPr>
            </w:pPr>
          </w:p>
        </w:tc>
      </w:tr>
      <w:tr w:rsidTr="00C57E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Writing skills to:</w:t>
            </w:r>
          </w:p>
        </w:tc>
        <w:tc>
          <w:tcPr>
            <w:tcW w:w="6312" w:type="dxa"/>
            <w:tcBorders>
              <w:top w:val="nil"/>
              <w:left w:val="nil"/>
              <w:bottom w:val="nil"/>
              <w:right w:val="nil"/>
            </w:tcBorders>
            <w:tcMar>
              <w:top w:w="0" w:type="dxa"/>
              <w:left w:w="62" w:type="dxa"/>
              <w:bottom w:w="0" w:type="dxa"/>
              <w:right w:w="62" w:type="dxa"/>
            </w:tcMar>
          </w:tcPr>
          <w:p w:rsidR="00000000" w:rsidRPr="00C57EA1" w:rsidP="00C57EA1">
            <w:pPr>
              <w:pStyle w:val="ListBullet"/>
            </w:pPr>
            <w:r w:rsidRPr="00C57EA1">
              <w:t>legibly co</w:t>
            </w:r>
            <w:r w:rsidRPr="00C57EA1">
              <w:t>mplete required documentation, including:</w:t>
            </w:r>
          </w:p>
          <w:p w:rsidR="00000000" w:rsidRPr="00C57EA1" w:rsidP="00C57EA1">
            <w:pPr>
              <w:pStyle w:val="ListBullet2"/>
            </w:pPr>
            <w:r w:rsidRPr="00C57EA1">
              <w:t>equipment inspection and handover documents that form part of work completion procedures</w:t>
            </w:r>
          </w:p>
          <w:p w:rsidR="00000000" w:rsidRPr="00C57EA1" w:rsidP="00C57EA1">
            <w:pPr>
              <w:pStyle w:val="ListBullet2"/>
            </w:pPr>
            <w:r w:rsidRPr="00C57EA1">
              <w:t>faulty equipment or workplace incident reports.</w:t>
            </w:r>
          </w:p>
          <w:p w:rsidR="00000000" w:rsidP="00C57EA1">
            <w:pPr>
              <w:pStyle w:val="BodyText"/>
              <w:rPr>
                <w:lang w:val="en-NZ"/>
              </w:rPr>
            </w:pPr>
          </w:p>
        </w:tc>
      </w:tr>
      <w:tr w:rsidTr="00C57E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Planning and organising skills to:</w:t>
            </w:r>
          </w:p>
        </w:tc>
        <w:tc>
          <w:tcPr>
            <w:tcW w:w="6312" w:type="dxa"/>
            <w:tcBorders>
              <w:top w:val="nil"/>
              <w:left w:val="nil"/>
              <w:bottom w:val="nil"/>
              <w:right w:val="nil"/>
            </w:tcBorders>
            <w:tcMar>
              <w:top w:w="0" w:type="dxa"/>
              <w:left w:w="62" w:type="dxa"/>
              <w:bottom w:w="0" w:type="dxa"/>
              <w:right w:w="62" w:type="dxa"/>
            </w:tcMar>
          </w:tcPr>
          <w:p w:rsidR="00000000" w:rsidRPr="00C57EA1" w:rsidP="00C57EA1">
            <w:pPr>
              <w:pStyle w:val="ListBullet"/>
            </w:pPr>
            <w:r w:rsidRPr="00C57EA1">
              <w:t>plan and schedule work in a logical sequence.</w:t>
            </w:r>
          </w:p>
          <w:p w:rsidR="00000000" w:rsidRPr="00C57EA1" w:rsidP="00C57EA1">
            <w:pPr>
              <w:pStyle w:val="BodyText"/>
            </w:pPr>
          </w:p>
        </w:tc>
      </w:tr>
    </w:tbl>
    <w:p w:rsidR="00000000" w:rsidRPr="00C57EA1" w:rsidP="00C57EA1">
      <w:pPr>
        <w:pStyle w:val="BodyText"/>
      </w:pPr>
    </w:p>
    <w:p w:rsidR="00000000" w:rsidRPr="00C57EA1" w:rsidP="00C57EA1">
      <w:pPr>
        <w:pStyle w:val="AllowPageBreak"/>
      </w:pPr>
    </w:p>
    <w:p w:rsidR="00000000" w:rsidRPr="00C57EA1" w:rsidP="00C57EA1">
      <w:pPr>
        <w:pStyle w:val="Heading1"/>
      </w:pPr>
      <w:bookmarkStart w:id="8" w:name="O_1246496"/>
      <w:bookmarkEnd w:id="8"/>
      <w:r w:rsidRPr="00C57EA1">
        <w:t>Range of Conditions</w:t>
      </w:r>
    </w:p>
    <w:tbl>
      <w:tblPr>
        <w:tblW w:w="0" w:type="auto"/>
        <w:tblLayout w:type="fixed"/>
        <w:tblCellMar>
          <w:left w:w="62" w:type="dxa"/>
          <w:right w:w="62" w:type="dxa"/>
        </w:tblCellMar>
        <w:tblLook w:val="0000"/>
      </w:tblPr>
      <w:tblGrid>
        <w:gridCol w:w="2364"/>
        <w:gridCol w:w="6708"/>
      </w:tblGrid>
      <w:tr w:rsidTr="00C57EA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 xml:space="preserve">This section specifies work environments and conditions that may affect performance. Essential operating conditions that may be present (depending on the work </w:t>
            </w:r>
            <w:r w:rsidRPr="00C57EA1">
              <w:t>situation, needs of the candidate, accessibility of the item, and local industry and regional contexts) are included. Bold italicised wording, if used in the performance criteria, is detailed below.</w:t>
            </w:r>
          </w:p>
        </w:tc>
      </w:tr>
      <w:tr w:rsidTr="00C57EA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rPr>
                <w:rStyle w:val="BoldandItalics"/>
              </w:rPr>
              <w:t xml:space="preserve">Safe work method statement </w:t>
            </w:r>
            <w:r w:rsidRPr="00C57EA1">
              <w:t>must include:</w:t>
            </w:r>
          </w:p>
        </w:tc>
        <w:tc>
          <w:tcPr>
            <w:tcW w:w="6708" w:type="dxa"/>
            <w:tcBorders>
              <w:top w:val="nil"/>
              <w:left w:val="nil"/>
              <w:bottom w:val="nil"/>
              <w:right w:val="nil"/>
            </w:tcBorders>
            <w:tcMar>
              <w:top w:w="0" w:type="dxa"/>
              <w:left w:w="62" w:type="dxa"/>
              <w:bottom w:w="0" w:type="dxa"/>
              <w:right w:w="62" w:type="dxa"/>
            </w:tcMar>
          </w:tcPr>
          <w:p w:rsidR="00000000" w:rsidRPr="00C57EA1" w:rsidP="00C57EA1">
            <w:pPr>
              <w:pStyle w:val="ListBullet"/>
            </w:pPr>
            <w:r w:rsidRPr="00C57EA1">
              <w:t>assessing ter</w:t>
            </w:r>
            <w:r w:rsidRPr="00C57EA1">
              <w:t>rain at work site</w:t>
            </w:r>
          </w:p>
          <w:p w:rsidR="00000000" w:rsidRPr="00C57EA1" w:rsidP="00C57EA1">
            <w:pPr>
              <w:pStyle w:val="ListBullet"/>
            </w:pPr>
            <w:r w:rsidRPr="00C57EA1">
              <w:t>identifying location of overhead power lines directly above or within specified clearance distances as set out in documentation, such as WorkSafe Victoria’s ‘No Go Zones For Overhead Electrical Power Lines’</w:t>
            </w:r>
          </w:p>
          <w:p w:rsidR="00000000" w:rsidRPr="00C57EA1" w:rsidP="00C57EA1">
            <w:pPr>
              <w:pStyle w:val="ListBullet"/>
            </w:pPr>
            <w:r w:rsidRPr="00C57EA1">
              <w:t xml:space="preserve">reference to permission to operate EWP from the power authority, if required </w:t>
            </w:r>
          </w:p>
          <w:p w:rsidR="00000000" w:rsidRPr="00C57EA1" w:rsidP="00C57EA1">
            <w:pPr>
              <w:pStyle w:val="ListBullet"/>
            </w:pPr>
            <w:r w:rsidRPr="00C57EA1">
              <w:t>identifying hazards and assessing risks for type of EWP, work site and job tasks, including existence of underground pits</w:t>
            </w:r>
          </w:p>
          <w:p w:rsidR="00000000" w:rsidRPr="00C57EA1" w:rsidP="00C57EA1">
            <w:pPr>
              <w:pStyle w:val="ListBullet"/>
            </w:pPr>
            <w:r w:rsidRPr="00C57EA1">
              <w:t>health and safety and environmental requirements mandate</w:t>
            </w:r>
            <w:r w:rsidRPr="00C57EA1">
              <w:t>d by regulatory authorities, work site safety plan, and workplace procedures</w:t>
            </w:r>
          </w:p>
          <w:p w:rsidR="00000000" w:rsidRPr="00C57EA1" w:rsidP="00C57EA1">
            <w:pPr>
              <w:pStyle w:val="ListBullet"/>
            </w:pPr>
            <w:r w:rsidRPr="00C57EA1">
              <w:t>establishing exclusion areas using signage and barricades</w:t>
            </w:r>
          </w:p>
          <w:p w:rsidR="00000000" w:rsidRPr="00C57EA1" w:rsidP="00C57EA1">
            <w:pPr>
              <w:pStyle w:val="ListBullet"/>
            </w:pPr>
            <w:r w:rsidRPr="00C57EA1">
              <w:t xml:space="preserve">identifying risk control measures to be implemented for job tasks </w:t>
            </w:r>
          </w:p>
          <w:p w:rsidR="00000000" w:rsidRPr="00C57EA1" w:rsidP="00C57EA1">
            <w:pPr>
              <w:pStyle w:val="ListBullet"/>
            </w:pPr>
            <w:r w:rsidRPr="00C57EA1">
              <w:t>safe operating procedures for type of EWP</w:t>
            </w:r>
          </w:p>
          <w:p w:rsidR="00000000" w:rsidRPr="00C57EA1" w:rsidP="00C57EA1">
            <w:pPr>
              <w:pStyle w:val="ListBullet"/>
            </w:pPr>
            <w:r w:rsidRPr="00C57EA1">
              <w:t>safe working</w:t>
            </w:r>
            <w:r w:rsidRPr="00C57EA1">
              <w:t xml:space="preserve"> load of the EWP </w:t>
            </w:r>
          </w:p>
          <w:p w:rsidR="00000000" w:rsidRPr="00C57EA1" w:rsidP="00C57EA1">
            <w:pPr>
              <w:pStyle w:val="ListBullet"/>
            </w:pPr>
            <w:r w:rsidRPr="00C57EA1">
              <w:t>using tools and equipment, including PPE, prescribed by legislation, regulations, and work site and workplace requirements.</w:t>
            </w:r>
          </w:p>
          <w:p w:rsidR="00000000" w:rsidP="00C57EA1">
            <w:pPr>
              <w:pStyle w:val="BodyText"/>
              <w:rPr>
                <w:lang w:val="en-NZ"/>
              </w:rPr>
            </w:pPr>
          </w:p>
        </w:tc>
      </w:tr>
      <w:tr w:rsidTr="00C57EA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rPr>
                <w:rStyle w:val="BoldandItalics"/>
              </w:rPr>
              <w:t>Emergency safety devices</w:t>
            </w:r>
            <w:r w:rsidRPr="00C57EA1">
              <w:t xml:space="preserve"> must be applicable to the EWP and include three or more of the following: </w:t>
            </w:r>
          </w:p>
        </w:tc>
        <w:tc>
          <w:tcPr>
            <w:tcW w:w="6708" w:type="dxa"/>
            <w:tcBorders>
              <w:top w:val="nil"/>
              <w:left w:val="nil"/>
              <w:bottom w:val="nil"/>
              <w:right w:val="nil"/>
            </w:tcBorders>
            <w:tcMar>
              <w:top w:w="0" w:type="dxa"/>
              <w:left w:w="62" w:type="dxa"/>
              <w:bottom w:w="0" w:type="dxa"/>
              <w:right w:w="62" w:type="dxa"/>
            </w:tcMar>
          </w:tcPr>
          <w:p w:rsidR="00000000" w:rsidRPr="00C57EA1" w:rsidP="00C57EA1">
            <w:pPr>
              <w:pStyle w:val="ListBullet"/>
            </w:pPr>
            <w:r w:rsidRPr="00C57EA1">
              <w:t>bleed valve</w:t>
            </w:r>
            <w:r w:rsidRPr="00C57EA1">
              <w:t>s</w:t>
            </w:r>
          </w:p>
          <w:p w:rsidR="00000000" w:rsidRPr="00C57EA1" w:rsidP="00C57EA1">
            <w:pPr>
              <w:pStyle w:val="ListBullet"/>
            </w:pPr>
            <w:r w:rsidRPr="00C57EA1">
              <w:t>electronic override</w:t>
            </w:r>
          </w:p>
          <w:p w:rsidR="00000000" w:rsidRPr="00C57EA1" w:rsidP="00C57EA1">
            <w:pPr>
              <w:pStyle w:val="ListBullet"/>
            </w:pPr>
            <w:r w:rsidRPr="00C57EA1">
              <w:t xml:space="preserve">emergency electric hydraulic pump </w:t>
            </w:r>
          </w:p>
          <w:p w:rsidR="00000000" w:rsidRPr="00C57EA1" w:rsidP="00C57EA1">
            <w:pPr>
              <w:pStyle w:val="ListBullet"/>
            </w:pPr>
            <w:r w:rsidRPr="00C57EA1">
              <w:t>emergency or controlled descent device</w:t>
            </w:r>
          </w:p>
          <w:p w:rsidR="00000000" w:rsidRPr="00C57EA1" w:rsidP="00C57EA1">
            <w:pPr>
              <w:pStyle w:val="ListBullet"/>
            </w:pPr>
            <w:r w:rsidRPr="00C57EA1">
              <w:t>ground controls</w:t>
            </w:r>
          </w:p>
          <w:p w:rsidR="00000000" w:rsidRPr="00C57EA1" w:rsidP="00C57EA1">
            <w:pPr>
              <w:pStyle w:val="ListBullet"/>
            </w:pPr>
            <w:r w:rsidRPr="00C57EA1">
              <w:t>manual hydraulic pump.</w:t>
            </w:r>
          </w:p>
          <w:p w:rsidR="00000000" w:rsidP="00C57EA1">
            <w:pPr>
              <w:pStyle w:val="BodyText"/>
              <w:rPr>
                <w:lang w:val="en-NZ"/>
              </w:rPr>
            </w:pPr>
          </w:p>
        </w:tc>
      </w:tr>
      <w:tr w:rsidTr="00C57EA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rPr>
                <w:rStyle w:val="BoldandItalics"/>
              </w:rPr>
              <w:t xml:space="preserve">Work completion procedures </w:t>
            </w:r>
            <w:r w:rsidRPr="00C57EA1">
              <w:t>must include:</w:t>
            </w:r>
          </w:p>
        </w:tc>
        <w:tc>
          <w:tcPr>
            <w:tcW w:w="6708" w:type="dxa"/>
            <w:tcBorders>
              <w:top w:val="nil"/>
              <w:left w:val="nil"/>
              <w:bottom w:val="nil"/>
              <w:right w:val="nil"/>
            </w:tcBorders>
            <w:tcMar>
              <w:top w:w="0" w:type="dxa"/>
              <w:left w:w="62" w:type="dxa"/>
              <w:bottom w:w="0" w:type="dxa"/>
              <w:right w:w="62" w:type="dxa"/>
            </w:tcMar>
          </w:tcPr>
          <w:p w:rsidR="00000000" w:rsidRPr="00C57EA1" w:rsidP="00C57EA1">
            <w:pPr>
              <w:pStyle w:val="ListBullet"/>
            </w:pPr>
            <w:r w:rsidRPr="00C57EA1">
              <w:t>completing logbook</w:t>
            </w:r>
          </w:p>
          <w:p w:rsidR="00000000" w:rsidRPr="00C57EA1" w:rsidP="00C57EA1">
            <w:pPr>
              <w:pStyle w:val="ListBullet"/>
            </w:pPr>
            <w:r w:rsidRPr="00C57EA1">
              <w:t>completing post-operational checks</w:t>
            </w:r>
          </w:p>
          <w:p w:rsidR="00000000" w:rsidRPr="00C57EA1" w:rsidP="00C57EA1">
            <w:pPr>
              <w:pStyle w:val="ListBullet"/>
            </w:pPr>
            <w:r w:rsidRPr="00C57EA1">
              <w:t xml:space="preserve">safely and securely </w:t>
            </w:r>
            <w:r w:rsidRPr="00C57EA1">
              <w:t>storing safety equipment.</w:t>
            </w:r>
          </w:p>
        </w:tc>
      </w:tr>
    </w:tbl>
    <w:p w:rsidR="00000000" w:rsidRPr="00C57EA1" w:rsidP="00C57EA1">
      <w:pPr>
        <w:pStyle w:val="BodyText"/>
      </w:pPr>
    </w:p>
    <w:p w:rsidR="00000000" w:rsidRPr="00C57EA1" w:rsidP="00C57EA1">
      <w:pPr>
        <w:pStyle w:val="AllowPageBreak"/>
      </w:pPr>
    </w:p>
    <w:p w:rsidR="00000000" w:rsidRPr="00C57EA1" w:rsidP="00C57EA1">
      <w:pPr>
        <w:pStyle w:val="Heading1"/>
      </w:pPr>
      <w:bookmarkStart w:id="9" w:name="O_1246495"/>
      <w:bookmarkEnd w:id="9"/>
      <w:r w:rsidRPr="00C57EA1">
        <w:t>Unit Mapping Information</w:t>
      </w:r>
    </w:p>
    <w:p w:rsidR="00000000" w:rsidRPr="00C57EA1" w:rsidP="0062188F">
      <w:pPr>
        <w:pStyle w:val="BodyText"/>
      </w:pPr>
      <w:r w:rsidRPr="00C57EA1">
        <w:t>CPCCCM3001C Operate elevated work platforms</w:t>
      </w:r>
    </w:p>
    <w:p w:rsidR="00000000" w:rsidRPr="00C57EA1" w:rsidP="00C57EA1">
      <w:pPr>
        <w:pStyle w:val="Heading1"/>
      </w:pPr>
      <w:bookmarkStart w:id="10" w:name="O_1246504"/>
      <w:bookmarkEnd w:id="10"/>
      <w:r w:rsidRPr="00C57EA1">
        <w:t>Links</w:t>
      </w:r>
    </w:p>
    <w:p w:rsidR="00000000" w:rsidRPr="00C57EA1" w:rsidP="0062188F">
      <w:pPr>
        <w:pStyle w:val="BodyText"/>
      </w:pPr>
      <w:r w:rsidRPr="00C57EA1">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E3746A">
        <w:rPr>
          <w:rStyle w:val="Hyperlink"/>
        </w:rPr>
        <w:t>https://vetnet.gov.au/Pages/TrainingDocs.aspx?q=7e15fa6a-68b8-4097-b099-030a5569b1ad</w:t>
      </w:r>
      <w:r>
        <w:fldChar w:fldCharType="end"/>
      </w:r>
    </w:p>
    <w:p w:rsidR="00000000" w:rsidRPr="00C57EA1" w:rsidP="0062188F">
      <w:pPr>
        <w:pStyle w:val="BodyText"/>
        <w:sectPr w:rsidSect="00C57EA1">
          <w:headerReference w:type="default" r:id="rId10"/>
          <w:footerReference w:type="default" r:id="rId11"/>
          <w:pgSz w:w="11908" w:h="16833"/>
          <w:pgMar w:top="1702" w:right="1418" w:bottom="1702" w:left="1418" w:header="992" w:footer="992" w:gutter="0"/>
          <w:cols w:space="720"/>
          <w:noEndnote/>
          <w:docGrid w:linePitch="299"/>
        </w:sectPr>
      </w:pPr>
    </w:p>
    <w:p w:rsidR="00000000" w:rsidRPr="00C57EA1" w:rsidP="00C57EA1">
      <w:pPr>
        <w:pStyle w:val="SuperHeading"/>
      </w:pPr>
      <w:r w:rsidRPr="00C57EA1">
        <w:t xml:space="preserve">Assessment </w:t>
      </w:r>
      <w:r w:rsidRPr="00C57EA1">
        <w:t>Requirements for CPCCCM3001 Operate elevated work platforms up to 11 metres</w:t>
      </w:r>
    </w:p>
    <w:p w:rsidR="00000000" w:rsidRPr="00C57EA1" w:rsidP="00C57EA1">
      <w:pPr>
        <w:pStyle w:val="Heading1"/>
      </w:pPr>
      <w:bookmarkStart w:id="11" w:name="O_1246493"/>
      <w:bookmarkEnd w:id="11"/>
      <w:r w:rsidRPr="00C57EA1">
        <w:t>Modification History</w:t>
      </w:r>
    </w:p>
    <w:tbl>
      <w:tblPr>
        <w:tblW w:w="0" w:type="auto"/>
        <w:tblLayout w:type="fixed"/>
        <w:tblCellMar>
          <w:left w:w="62" w:type="dxa"/>
          <w:right w:w="62" w:type="dxa"/>
        </w:tblCellMar>
        <w:tblLook w:val="0000"/>
      </w:tblPr>
      <w:tblGrid>
        <w:gridCol w:w="1128"/>
        <w:gridCol w:w="7944"/>
      </w:tblGrid>
      <w:tr w:rsidTr="00C57EA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Release 2</w:t>
            </w:r>
          </w:p>
        </w:tc>
        <w:tc>
          <w:tcPr>
            <w:tcW w:w="7944" w:type="dxa"/>
            <w:tcBorders>
              <w:top w:val="nil"/>
              <w:left w:val="nil"/>
              <w:bottom w:val="nil"/>
              <w:right w:val="nil"/>
            </w:tcBorders>
            <w:tcMar>
              <w:top w:w="0" w:type="dxa"/>
              <w:left w:w="62" w:type="dxa"/>
              <w:bottom w:w="0" w:type="dxa"/>
              <w:right w:w="62" w:type="dxa"/>
            </w:tcMar>
          </w:tcPr>
          <w:p w:rsidR="00000000" w:rsidRPr="00C57EA1" w:rsidP="00C57EA1">
            <w:pPr>
              <w:pStyle w:val="BodyText"/>
            </w:pPr>
            <w:r w:rsidRPr="00C57EA1">
              <w:t>This version first released with CPC Construction, Plumbing and Services Training Package Release 8.0.</w:t>
            </w:r>
          </w:p>
          <w:p w:rsidR="00000000" w:rsidP="00C57EA1">
            <w:pPr>
              <w:pStyle w:val="BodyText"/>
              <w:rPr>
                <w:lang w:val="en-NZ"/>
              </w:rPr>
            </w:pPr>
            <w:r w:rsidRPr="00C57EA1">
              <w:t xml:space="preserve">Changes to the Performance </w:t>
            </w:r>
            <w:r w:rsidRPr="00C57EA1">
              <w:t>Evidence.</w:t>
            </w:r>
          </w:p>
        </w:tc>
      </w:tr>
      <w:tr w:rsidTr="00C57EA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57EA1">
            <w:pPr>
              <w:pStyle w:val="BodyText"/>
              <w:rPr>
                <w:lang w:val="en-NZ"/>
              </w:rPr>
            </w:pPr>
            <w:r w:rsidRPr="00C57EA1">
              <w:t>Release 1</w:t>
            </w:r>
          </w:p>
        </w:tc>
        <w:tc>
          <w:tcPr>
            <w:tcW w:w="7944" w:type="dxa"/>
            <w:tcBorders>
              <w:top w:val="nil"/>
              <w:left w:val="nil"/>
              <w:bottom w:val="nil"/>
              <w:right w:val="nil"/>
            </w:tcBorders>
            <w:tcMar>
              <w:top w:w="0" w:type="dxa"/>
              <w:left w:w="62" w:type="dxa"/>
              <w:bottom w:w="0" w:type="dxa"/>
              <w:right w:w="62" w:type="dxa"/>
            </w:tcMar>
          </w:tcPr>
          <w:p w:rsidR="00000000" w:rsidRPr="00C57EA1" w:rsidP="00C57EA1">
            <w:pPr>
              <w:pStyle w:val="BodyText"/>
            </w:pPr>
            <w:r w:rsidRPr="00C57EA1">
              <w:t>This version first released with CPC Construction, Plumbing and Services Training Package Version 2.</w:t>
            </w:r>
          </w:p>
          <w:p w:rsidR="00000000" w:rsidRPr="00C57EA1" w:rsidP="00C57EA1">
            <w:pPr>
              <w:pStyle w:val="BodyText"/>
            </w:pPr>
            <w:r w:rsidRPr="00C57EA1">
              <w:t>Revised unit of competency. Replaces superseded equivalent CPCCCM3001C Operate elevated work platforms.</w:t>
            </w:r>
          </w:p>
        </w:tc>
      </w:tr>
    </w:tbl>
    <w:p w:rsidR="00000000" w:rsidRPr="00C57EA1" w:rsidP="00C57EA1">
      <w:pPr>
        <w:pStyle w:val="BodyText"/>
      </w:pPr>
    </w:p>
    <w:p w:rsidR="00000000" w:rsidRPr="00C57EA1" w:rsidP="00C57EA1">
      <w:pPr>
        <w:pStyle w:val="AllowPageBreak"/>
      </w:pPr>
    </w:p>
    <w:p w:rsidR="00000000" w:rsidRPr="00C57EA1" w:rsidP="00C57EA1">
      <w:pPr>
        <w:pStyle w:val="Heading1"/>
      </w:pPr>
      <w:bookmarkStart w:id="12" w:name="O_1246492"/>
      <w:bookmarkEnd w:id="12"/>
      <w:r w:rsidRPr="00C57EA1">
        <w:t>Performance Evidence</w:t>
      </w:r>
    </w:p>
    <w:p w:rsidR="00000000" w:rsidRPr="00C57EA1" w:rsidP="0062188F">
      <w:pPr>
        <w:pStyle w:val="BodyText"/>
      </w:pPr>
      <w:r w:rsidRPr="00C57EA1">
        <w:t>A person demonstrating competency in this unit must satisfy all of the elements, performance criteria and foundation skills of this unit. The person must also set up and operate each of the following types of elevated work platforms (E</w:t>
      </w:r>
      <w:r w:rsidRPr="00C57EA1">
        <w:t>WPs) at two different locations on the site, including moving the plant around the work site safely:</w:t>
      </w:r>
    </w:p>
    <w:p w:rsidR="00000000" w:rsidRPr="00C57EA1" w:rsidP="00C57EA1">
      <w:pPr>
        <w:pStyle w:val="ListBullet"/>
      </w:pPr>
      <w:r w:rsidRPr="00C57EA1">
        <w:t>self-propelled boom lift (BL)</w:t>
      </w:r>
    </w:p>
    <w:p w:rsidR="00000000" w:rsidRPr="00C57EA1" w:rsidP="00C57EA1">
      <w:pPr>
        <w:pStyle w:val="ListBullet"/>
      </w:pPr>
      <w:r w:rsidRPr="00C57EA1">
        <w:t>scissor lift (SL).</w:t>
      </w:r>
    </w:p>
    <w:p w:rsidR="00000000" w:rsidRPr="00C57EA1" w:rsidP="00C57EA1">
      <w:pPr>
        <w:pStyle w:val="BodyText"/>
      </w:pPr>
    </w:p>
    <w:p w:rsidR="00000000" w:rsidRPr="00C57EA1" w:rsidP="0062188F">
      <w:pPr>
        <w:pStyle w:val="BodyText"/>
      </w:pPr>
      <w:r w:rsidRPr="00C57EA1">
        <w:t>The following functions and controls must be performed while operating both BL and SL:</w:t>
      </w:r>
    </w:p>
    <w:p w:rsidR="00000000" w:rsidRPr="00C57EA1" w:rsidP="00C57EA1">
      <w:pPr>
        <w:pStyle w:val="ListBullet"/>
      </w:pPr>
      <w:r w:rsidRPr="00C57EA1">
        <w:t>boom up and down</w:t>
      </w:r>
    </w:p>
    <w:p w:rsidR="00000000" w:rsidRPr="00C57EA1" w:rsidP="00C57EA1">
      <w:pPr>
        <w:pStyle w:val="ListBullet"/>
      </w:pPr>
      <w:r w:rsidRPr="00C57EA1">
        <w:t>operate attachments</w:t>
      </w:r>
    </w:p>
    <w:p w:rsidR="00000000" w:rsidRPr="00C57EA1" w:rsidP="00C57EA1">
      <w:pPr>
        <w:pStyle w:val="ListBullet"/>
      </w:pPr>
      <w:r w:rsidRPr="00C57EA1">
        <w:t>operate outriggers, where fitted.</w:t>
      </w:r>
    </w:p>
    <w:p w:rsidR="00000000" w:rsidRPr="00C57EA1" w:rsidP="00C57EA1">
      <w:pPr>
        <w:pStyle w:val="ListBullet"/>
      </w:pPr>
      <w:r w:rsidRPr="00C57EA1">
        <w:t>The following functions and controls must be performed while operating the BL:</w:t>
      </w:r>
    </w:p>
    <w:p w:rsidR="00000000" w:rsidRPr="00C57EA1" w:rsidP="00C57EA1">
      <w:pPr>
        <w:pStyle w:val="ListBullet"/>
      </w:pPr>
      <w:r w:rsidRPr="00C57EA1">
        <w:t>slew left and right</w:t>
      </w:r>
    </w:p>
    <w:p w:rsidR="00000000" w:rsidRPr="00C57EA1" w:rsidP="00C57EA1">
      <w:pPr>
        <w:pStyle w:val="ListBullet"/>
      </w:pPr>
      <w:r w:rsidRPr="00C57EA1">
        <w:t>telescope in and out.</w:t>
      </w:r>
    </w:p>
    <w:p w:rsidR="00000000" w:rsidRPr="00C57EA1" w:rsidP="00C57EA1">
      <w:pPr>
        <w:pStyle w:val="BodyText"/>
      </w:pPr>
    </w:p>
    <w:p w:rsidR="00000000" w:rsidRPr="00C57EA1" w:rsidP="0062188F">
      <w:pPr>
        <w:pStyle w:val="BodyText"/>
      </w:pPr>
      <w:r w:rsidRPr="00C57EA1">
        <w:t>At least one EWP must be set up and operated on uneven terrain, using outrigg</w:t>
      </w:r>
      <w:r w:rsidRPr="00C57EA1">
        <w:t>ers as required.</w:t>
      </w:r>
    </w:p>
    <w:p w:rsidR="00000000" w:rsidRPr="00C57EA1" w:rsidP="0062188F">
      <w:pPr>
        <w:pStyle w:val="BodyText"/>
      </w:pPr>
      <w:r w:rsidRPr="00C57EA1">
        <w:t>In doing the above, the person must fit harnesses and attach lanyards as follows:</w:t>
      </w:r>
    </w:p>
    <w:p w:rsidR="00000000" w:rsidRPr="00C57EA1" w:rsidP="00C57EA1">
      <w:pPr>
        <w:pStyle w:val="ListBullet"/>
      </w:pPr>
      <w:r w:rsidRPr="00C57EA1">
        <w:t>energy or shock absorbers, which must be used with all fall arrest equipment</w:t>
      </w:r>
    </w:p>
    <w:p w:rsidR="00000000" w:rsidRPr="00C57EA1" w:rsidP="00C57EA1">
      <w:pPr>
        <w:pStyle w:val="ListBullet"/>
      </w:pPr>
      <w:r w:rsidRPr="00C57EA1">
        <w:t xml:space="preserve">lanyards, which must be attached to the harness installed so that the maximum </w:t>
      </w:r>
      <w:r w:rsidRPr="00C57EA1">
        <w:t>distance a person equipped with a harness would free fall before the fall arrest system takes effect is two metres.</w:t>
      </w:r>
    </w:p>
    <w:p w:rsidR="00000000" w:rsidRPr="00C57EA1" w:rsidP="00C57EA1">
      <w:pPr>
        <w:pStyle w:val="BodyText"/>
      </w:pPr>
    </w:p>
    <w:p w:rsidR="00000000" w:rsidRPr="00C57EA1" w:rsidP="0062188F">
      <w:pPr>
        <w:pStyle w:val="BodyText"/>
      </w:pPr>
      <w:r w:rsidRPr="00C57EA1">
        <w:t>In doing the above, the person must also:</w:t>
      </w:r>
    </w:p>
    <w:p w:rsidR="00000000" w:rsidRPr="00C57EA1" w:rsidP="00C57EA1">
      <w:pPr>
        <w:pStyle w:val="ListBullet"/>
      </w:pPr>
      <w:r w:rsidRPr="00C57EA1">
        <w:t>establish and apply a rescue plan</w:t>
      </w:r>
    </w:p>
    <w:p w:rsidR="00000000" w:rsidRPr="00C57EA1" w:rsidP="00C57EA1">
      <w:pPr>
        <w:pStyle w:val="ListBullet"/>
      </w:pPr>
      <w:r w:rsidRPr="00C57EA1">
        <w:t>apply safe operating procedures, including conducting operational risk assessment and treatments associated with:</w:t>
      </w:r>
    </w:p>
    <w:p w:rsidR="00000000" w:rsidRPr="00C57EA1" w:rsidP="00C57EA1">
      <w:pPr>
        <w:pStyle w:val="ListBullet2"/>
      </w:pPr>
      <w:r w:rsidRPr="00C57EA1">
        <w:t>earth leakage boxes</w:t>
      </w:r>
    </w:p>
    <w:p w:rsidR="00000000" w:rsidRPr="00C57EA1" w:rsidP="00C57EA1">
      <w:pPr>
        <w:pStyle w:val="ListBullet2"/>
      </w:pPr>
      <w:r w:rsidRPr="00C57EA1">
        <w:t>lighting</w:t>
      </w:r>
    </w:p>
    <w:p w:rsidR="00000000" w:rsidRPr="00C57EA1" w:rsidP="00C57EA1">
      <w:pPr>
        <w:pStyle w:val="ListBullet2"/>
      </w:pPr>
      <w:r w:rsidRPr="00C57EA1">
        <w:t>power cables, including overhead service trays, cables and conduits</w:t>
      </w:r>
    </w:p>
    <w:p w:rsidR="00000000" w:rsidRPr="00C57EA1" w:rsidP="00C57EA1">
      <w:pPr>
        <w:pStyle w:val="ListBullet2"/>
      </w:pPr>
      <w:r w:rsidRPr="00C57EA1">
        <w:t>restricted access barriers</w:t>
      </w:r>
    </w:p>
    <w:p w:rsidR="00000000" w:rsidRPr="00C57EA1" w:rsidP="00C57EA1">
      <w:pPr>
        <w:pStyle w:val="ListBullet2"/>
      </w:pPr>
      <w:r w:rsidRPr="00C57EA1">
        <w:t>surrounding struc</w:t>
      </w:r>
      <w:r w:rsidRPr="00C57EA1">
        <w:t>tures</w:t>
      </w:r>
    </w:p>
    <w:p w:rsidR="00000000" w:rsidRPr="00C57EA1" w:rsidP="00C57EA1">
      <w:pPr>
        <w:pStyle w:val="ListBullet2"/>
      </w:pPr>
      <w:r w:rsidRPr="00C57EA1">
        <w:t>traffic control</w:t>
      </w:r>
    </w:p>
    <w:p w:rsidR="00000000" w:rsidRPr="00C57EA1" w:rsidP="00C57EA1">
      <w:pPr>
        <w:pStyle w:val="ListBullet2"/>
      </w:pPr>
      <w:r w:rsidRPr="00C57EA1">
        <w:t>trip hazards</w:t>
      </w:r>
    </w:p>
    <w:p w:rsidR="00000000" w:rsidRPr="00C57EA1" w:rsidP="00C57EA1">
      <w:pPr>
        <w:pStyle w:val="ListBullet2"/>
      </w:pPr>
      <w:r w:rsidRPr="00C57EA1">
        <w:t>work site visitors and the public</w:t>
      </w:r>
    </w:p>
    <w:p w:rsidR="00000000" w:rsidRPr="00C57EA1" w:rsidP="00C57EA1">
      <w:pPr>
        <w:pStyle w:val="ListBullet2"/>
      </w:pPr>
      <w:r w:rsidRPr="00C57EA1">
        <w:t>working at heights up to 11 metres</w:t>
      </w:r>
    </w:p>
    <w:p w:rsidR="00000000" w:rsidRPr="00C57EA1" w:rsidP="00C57EA1">
      <w:pPr>
        <w:pStyle w:val="ListBullet2"/>
      </w:pPr>
      <w:r w:rsidRPr="00C57EA1">
        <w:t>working in proximity to others</w:t>
      </w:r>
    </w:p>
    <w:p w:rsidR="00000000" w:rsidRPr="00C57EA1" w:rsidP="00C57EA1">
      <w:pPr>
        <w:pStyle w:val="ListBullet2"/>
      </w:pPr>
      <w:r w:rsidRPr="00C57EA1">
        <w:t>working with dangerous materials</w:t>
      </w:r>
    </w:p>
    <w:p w:rsidR="00000000" w:rsidRPr="00C57EA1" w:rsidP="00C57EA1">
      <w:pPr>
        <w:pStyle w:val="ListBullet"/>
      </w:pPr>
      <w:r w:rsidRPr="00C57EA1">
        <w:t>locate, interpret and apply information relating to job requirements, including:</w:t>
      </w:r>
    </w:p>
    <w:p w:rsidR="00000000" w:rsidRPr="00C57EA1" w:rsidP="00C57EA1">
      <w:pPr>
        <w:pStyle w:val="ListBullet2"/>
      </w:pPr>
      <w:r w:rsidRPr="00C57EA1">
        <w:t>diagrams and sketches</w:t>
      </w:r>
    </w:p>
    <w:p w:rsidR="00000000" w:rsidRPr="00C57EA1" w:rsidP="00C57EA1">
      <w:pPr>
        <w:pStyle w:val="ListBullet2"/>
      </w:pPr>
      <w:r w:rsidRPr="00C57EA1">
        <w:t>environmental requirements, including:</w:t>
      </w:r>
    </w:p>
    <w:p w:rsidR="00000000" w:rsidRPr="00C57EA1" w:rsidP="00C57EA1">
      <w:pPr>
        <w:pStyle w:val="ListBullet3"/>
      </w:pPr>
      <w:r w:rsidRPr="00C57EA1">
        <w:t>clean-up protection</w:t>
      </w:r>
    </w:p>
    <w:p w:rsidR="00000000" w:rsidRPr="00C57EA1" w:rsidP="00C57EA1">
      <w:pPr>
        <w:pStyle w:val="ListBullet3"/>
      </w:pPr>
      <w:r w:rsidRPr="00C57EA1">
        <w:t>noise and dust management</w:t>
      </w:r>
    </w:p>
    <w:p w:rsidR="00000000" w:rsidRPr="00C57EA1" w:rsidP="00C57EA1">
      <w:pPr>
        <w:pStyle w:val="ListBullet3"/>
      </w:pPr>
      <w:r w:rsidRPr="00C57EA1">
        <w:t>vibration management</w:t>
      </w:r>
    </w:p>
    <w:p w:rsidR="00000000" w:rsidRPr="00C57EA1" w:rsidP="00C57EA1">
      <w:pPr>
        <w:pStyle w:val="ListBullet3"/>
      </w:pPr>
      <w:r w:rsidRPr="00C57EA1">
        <w:t>waste management</w:t>
      </w:r>
    </w:p>
    <w:p w:rsidR="00000000" w:rsidRPr="00C57EA1" w:rsidP="00C57EA1">
      <w:pPr>
        <w:pStyle w:val="ListBullet2"/>
      </w:pPr>
      <w:r w:rsidRPr="00C57EA1">
        <w:t>quality requirements relevant to EWP work</w:t>
      </w:r>
    </w:p>
    <w:p w:rsidR="00000000" w:rsidRPr="00C57EA1" w:rsidP="00C57EA1">
      <w:pPr>
        <w:pStyle w:val="ListBullet2"/>
      </w:pPr>
      <w:r w:rsidRPr="00C57EA1">
        <w:t>instructions issued by authorised organisational and external personnel</w:t>
      </w:r>
    </w:p>
    <w:p w:rsidR="00000000" w:rsidRPr="00C57EA1" w:rsidP="00C57EA1">
      <w:pPr>
        <w:pStyle w:val="ListBullet2"/>
      </w:pPr>
      <w:r w:rsidRPr="00C57EA1">
        <w:t>manufacturer specifications, operator manual, and instructions where specified</w:t>
      </w:r>
    </w:p>
    <w:p w:rsidR="00000000" w:rsidRPr="00C57EA1" w:rsidP="00C57EA1">
      <w:pPr>
        <w:pStyle w:val="ListBullet2"/>
      </w:pPr>
      <w:r w:rsidRPr="00C57EA1">
        <w:t>signage</w:t>
      </w:r>
    </w:p>
    <w:p w:rsidR="00000000" w:rsidRPr="00C57EA1" w:rsidP="00C57EA1">
      <w:pPr>
        <w:pStyle w:val="ListBullet2"/>
      </w:pPr>
      <w:r w:rsidRPr="00C57EA1">
        <w:t>industry standards and job specifications</w:t>
      </w:r>
    </w:p>
    <w:p w:rsidR="00000000" w:rsidRPr="00C57EA1" w:rsidP="00C57EA1">
      <w:pPr>
        <w:pStyle w:val="ListBullet2"/>
      </w:pPr>
      <w:r w:rsidRPr="00C57EA1">
        <w:t>verbal, written and graphical instructions</w:t>
      </w:r>
    </w:p>
    <w:p w:rsidR="00000000" w:rsidRPr="00C57EA1" w:rsidP="00C57EA1">
      <w:pPr>
        <w:pStyle w:val="ListBullet2"/>
      </w:pPr>
      <w:r w:rsidRPr="00C57EA1">
        <w:t>work schedul</w:t>
      </w:r>
      <w:r w:rsidRPr="00C57EA1">
        <w:t>es, plans and specifications</w:t>
      </w:r>
    </w:p>
    <w:p w:rsidR="00000000" w:rsidRPr="00C57EA1" w:rsidP="00C57EA1">
      <w:pPr>
        <w:pStyle w:val="ListBullet"/>
      </w:pPr>
      <w:r w:rsidRPr="00C57EA1">
        <w:t>comply with site safety plan and health and safety legislation, regulations and codes of practice applicable to workplace operations</w:t>
      </w:r>
    </w:p>
    <w:p w:rsidR="00000000" w:rsidRPr="00C57EA1" w:rsidP="00C57EA1">
      <w:pPr>
        <w:pStyle w:val="ListBullet"/>
      </w:pPr>
      <w:r w:rsidRPr="00C57EA1">
        <w:t>safely and effectively use tools, plant and equipment relevant to EWP work</w:t>
      </w:r>
    </w:p>
    <w:p w:rsidR="00000000" w:rsidRPr="00C57EA1" w:rsidP="00C57EA1">
      <w:pPr>
        <w:pStyle w:val="ListBullet"/>
      </w:pPr>
      <w:r w:rsidRPr="00C57EA1">
        <w:t>ensure safe working load of EWP is not exceeded</w:t>
      </w:r>
    </w:p>
    <w:p w:rsidR="00000000" w:rsidRPr="00C57EA1" w:rsidP="00C57EA1">
      <w:pPr>
        <w:pStyle w:val="ListBullet"/>
      </w:pPr>
      <w:r w:rsidRPr="00C57EA1">
        <w:t xml:space="preserve">communicate with others on the work site using verbal and non-verbal communication and communication technology </w:t>
      </w:r>
    </w:p>
    <w:p w:rsidR="00000000" w:rsidRPr="00C57EA1" w:rsidP="00C57EA1">
      <w:pPr>
        <w:pStyle w:val="ListBullet"/>
      </w:pPr>
      <w:r w:rsidRPr="00C57EA1">
        <w:t>work effectively and safely with others on the work site.</w:t>
      </w:r>
    </w:p>
    <w:p w:rsidR="00000000" w:rsidRPr="00C57EA1" w:rsidP="00C57EA1">
      <w:pPr>
        <w:pStyle w:val="AllowPageBreak"/>
      </w:pPr>
    </w:p>
    <w:p w:rsidR="00000000" w:rsidRPr="00C57EA1" w:rsidP="00C57EA1">
      <w:pPr>
        <w:pStyle w:val="Heading1"/>
      </w:pPr>
      <w:bookmarkStart w:id="13" w:name="O_1246491"/>
      <w:bookmarkEnd w:id="13"/>
      <w:r w:rsidRPr="00C57EA1">
        <w:t>Knowledge Evidence</w:t>
      </w:r>
    </w:p>
    <w:p w:rsidR="00000000" w:rsidRPr="00C57EA1" w:rsidP="0062188F">
      <w:pPr>
        <w:pStyle w:val="BodyText"/>
      </w:pPr>
      <w:r w:rsidRPr="00C57EA1">
        <w:t>A person demonstrating competency in this unit must demonstrate knowledge of:</w:t>
      </w:r>
    </w:p>
    <w:p w:rsidR="00000000" w:rsidRPr="00C57EA1" w:rsidP="00C57EA1">
      <w:pPr>
        <w:pStyle w:val="ListBullet"/>
      </w:pPr>
      <w:r w:rsidRPr="00C57EA1">
        <w:t>functions and operational limitations of EWP equipment</w:t>
      </w:r>
    </w:p>
    <w:p w:rsidR="00000000" w:rsidRPr="00C57EA1" w:rsidP="00C57EA1">
      <w:pPr>
        <w:pStyle w:val="ListBullet"/>
      </w:pPr>
      <w:r w:rsidRPr="00C57EA1">
        <w:t>types of EWP equipment and health and safety authority certification of competency requirements</w:t>
      </w:r>
    </w:p>
    <w:p w:rsidR="00000000" w:rsidRPr="00C57EA1" w:rsidP="00C57EA1">
      <w:pPr>
        <w:pStyle w:val="ListBullet"/>
      </w:pPr>
      <w:r w:rsidRPr="00C57EA1">
        <w:t>controls and techniques f</w:t>
      </w:r>
      <w:r w:rsidRPr="00C57EA1">
        <w:t>or using EWP</w:t>
      </w:r>
    </w:p>
    <w:p w:rsidR="00000000" w:rsidRPr="00C57EA1" w:rsidP="00C57EA1">
      <w:pPr>
        <w:pStyle w:val="ListBullet"/>
      </w:pPr>
      <w:r w:rsidRPr="00C57EA1">
        <w:t xml:space="preserve">health and safety requirements for construction work sites, including: </w:t>
      </w:r>
    </w:p>
    <w:p w:rsidR="00000000" w:rsidRPr="00C57EA1" w:rsidP="00C57EA1">
      <w:pPr>
        <w:pStyle w:val="ListBullet2"/>
      </w:pPr>
      <w:r w:rsidRPr="00C57EA1">
        <w:t>procedures relating to equipment operation, including emergency shutdown and stopping, extinguishing equipment fires, organisational first aid requirements, and evacuatio</w:t>
      </w:r>
      <w:r w:rsidRPr="00C57EA1">
        <w:t>n procedures</w:t>
      </w:r>
    </w:p>
    <w:p w:rsidR="00000000" w:rsidRPr="00C57EA1" w:rsidP="00C57EA1">
      <w:pPr>
        <w:pStyle w:val="ListBullet2"/>
      </w:pPr>
      <w:r w:rsidRPr="00C57EA1">
        <w:t>hazard identification and risk control procedures, including for handling hazardous materials and dangerous goods</w:t>
      </w:r>
    </w:p>
    <w:p w:rsidR="00000000" w:rsidRPr="00C57EA1" w:rsidP="00C57EA1">
      <w:pPr>
        <w:pStyle w:val="ListBullet2"/>
      </w:pPr>
      <w:r w:rsidRPr="00C57EA1">
        <w:t>selection and use of personal protective equipment (PPE)</w:t>
      </w:r>
    </w:p>
    <w:p w:rsidR="00000000" w:rsidRPr="00C57EA1" w:rsidP="00C57EA1">
      <w:pPr>
        <w:pStyle w:val="ListBullet2"/>
      </w:pPr>
      <w:r w:rsidRPr="00C57EA1">
        <w:t>location and use of firefighting equipment</w:t>
      </w:r>
    </w:p>
    <w:p w:rsidR="00000000" w:rsidRPr="00C57EA1" w:rsidP="00C57EA1">
      <w:pPr>
        <w:pStyle w:val="ListBullet2"/>
      </w:pPr>
      <w:r w:rsidRPr="00C57EA1">
        <w:t>selection and use of tools and equipment</w:t>
      </w:r>
    </w:p>
    <w:p w:rsidR="00000000" w:rsidRPr="00C57EA1" w:rsidP="00C57EA1">
      <w:pPr>
        <w:pStyle w:val="ListBullet"/>
      </w:pPr>
      <w:r w:rsidRPr="00C57EA1">
        <w:t>processes for identifying equipment faults</w:t>
      </w:r>
    </w:p>
    <w:p w:rsidR="00000000" w:rsidRPr="00C57EA1" w:rsidP="00C57EA1">
      <w:pPr>
        <w:pStyle w:val="ListBullet"/>
      </w:pPr>
      <w:r w:rsidRPr="00C57EA1">
        <w:t>general construction terminology relevant to operating EWPs</w:t>
      </w:r>
    </w:p>
    <w:p w:rsidR="00000000" w:rsidRPr="00C57EA1" w:rsidP="00C57EA1">
      <w:pPr>
        <w:pStyle w:val="ListBullet"/>
      </w:pPr>
      <w:r w:rsidRPr="00C57EA1">
        <w:t>safe operating procedures for operating EWPs, including contents of and terms used in:</w:t>
      </w:r>
    </w:p>
    <w:p w:rsidR="00000000" w:rsidRPr="00C57EA1" w:rsidP="00C57EA1">
      <w:pPr>
        <w:pStyle w:val="ListBullet2"/>
      </w:pPr>
      <w:r w:rsidRPr="00C57EA1">
        <w:t>job safety analyses (JS</w:t>
      </w:r>
      <w:r w:rsidRPr="00C57EA1">
        <w:t>A)</w:t>
      </w:r>
    </w:p>
    <w:p w:rsidR="00000000" w:rsidRPr="00C57EA1" w:rsidP="00C57EA1">
      <w:pPr>
        <w:pStyle w:val="ListBullet2"/>
      </w:pPr>
      <w:r w:rsidRPr="00C57EA1">
        <w:t>safe work method statements (SWMS)</w:t>
      </w:r>
    </w:p>
    <w:p w:rsidR="00000000" w:rsidRPr="00C57EA1" w:rsidP="00C57EA1">
      <w:pPr>
        <w:pStyle w:val="ListBullet2"/>
      </w:pPr>
      <w:r w:rsidRPr="00C57EA1">
        <w:t>safety data sheets (SDS)</w:t>
      </w:r>
    </w:p>
    <w:p w:rsidR="00000000" w:rsidRPr="00C57EA1" w:rsidP="00C57EA1">
      <w:pPr>
        <w:pStyle w:val="ListBullet"/>
      </w:pPr>
      <w:r w:rsidRPr="00C57EA1">
        <w:t>processes for calculating load mass requirements</w:t>
      </w:r>
    </w:p>
    <w:p w:rsidR="00000000" w:rsidRPr="00C57EA1" w:rsidP="00C57EA1">
      <w:pPr>
        <w:pStyle w:val="ListBullet"/>
      </w:pPr>
      <w:r w:rsidRPr="00C57EA1">
        <w:t>quality requirements relevant to operating EWPs</w:t>
      </w:r>
    </w:p>
    <w:p w:rsidR="00000000" w:rsidRPr="00C57EA1" w:rsidP="00C57EA1">
      <w:pPr>
        <w:pStyle w:val="ListBullet"/>
      </w:pPr>
      <w:r w:rsidRPr="00C57EA1">
        <w:t>regulatory and legislative requirements relevant to operating EWPs</w:t>
      </w:r>
    </w:p>
    <w:p w:rsidR="00000000" w:rsidRPr="00C57EA1" w:rsidP="00C57EA1">
      <w:pPr>
        <w:pStyle w:val="ListBullet"/>
      </w:pPr>
      <w:r w:rsidRPr="00C57EA1">
        <w:t>AS 2550 Set: Cranes, hoists and winches - Safe use</w:t>
      </w:r>
    </w:p>
    <w:p w:rsidR="00000000" w:rsidRPr="00C57EA1" w:rsidP="00C57EA1">
      <w:pPr>
        <w:pStyle w:val="ListBullet"/>
      </w:pPr>
      <w:r w:rsidRPr="00C57EA1">
        <w:t>relevant Acts, regulations and codes of practice relevant to working safely at heights on construction sites</w:t>
      </w:r>
    </w:p>
    <w:p w:rsidR="00000000" w:rsidRPr="00C57EA1" w:rsidP="00C57EA1">
      <w:pPr>
        <w:pStyle w:val="ListBullet"/>
      </w:pPr>
      <w:r w:rsidRPr="00C57EA1">
        <w:t>procedures for working safely at heights</w:t>
      </w:r>
    </w:p>
    <w:p w:rsidR="00000000" w:rsidRPr="00C57EA1" w:rsidP="00C57EA1">
      <w:pPr>
        <w:pStyle w:val="ListBullet"/>
      </w:pPr>
      <w:r w:rsidRPr="00C57EA1">
        <w:t>signalling methods and communications relevant to opera</w:t>
      </w:r>
      <w:r w:rsidRPr="00C57EA1">
        <w:t>ting EWPs</w:t>
      </w:r>
    </w:p>
    <w:p w:rsidR="00000000" w:rsidRPr="00C57EA1" w:rsidP="00C57EA1">
      <w:pPr>
        <w:pStyle w:val="ListBullet"/>
      </w:pPr>
      <w:r w:rsidRPr="00C57EA1">
        <w:t>types, characteristics, use and limitations of plant, tools and equipment relevant to operating EWPs</w:t>
      </w:r>
    </w:p>
    <w:p w:rsidR="00000000" w:rsidRPr="00C57EA1" w:rsidP="00C57EA1">
      <w:pPr>
        <w:pStyle w:val="ListBullet"/>
      </w:pPr>
      <w:r w:rsidRPr="00C57EA1">
        <w:t>use and limitations of fall rescue systems.</w:t>
      </w:r>
    </w:p>
    <w:p w:rsidR="00000000" w:rsidRPr="00C57EA1" w:rsidP="00C57EA1">
      <w:pPr>
        <w:pStyle w:val="AllowPageBreak"/>
      </w:pPr>
    </w:p>
    <w:p w:rsidR="00000000" w:rsidRPr="00C57EA1" w:rsidP="00C57EA1">
      <w:pPr>
        <w:pStyle w:val="Heading1"/>
      </w:pPr>
      <w:bookmarkStart w:id="14" w:name="O_1246490"/>
      <w:bookmarkEnd w:id="14"/>
      <w:r w:rsidRPr="00C57EA1">
        <w:t>Assessment Conditions</w:t>
      </w:r>
    </w:p>
    <w:p w:rsidR="00000000" w:rsidRPr="00C57EA1" w:rsidP="0062188F">
      <w:pPr>
        <w:pStyle w:val="BodyText"/>
      </w:pPr>
      <w:r w:rsidRPr="00C57EA1">
        <w:t>Suitable assessment of performance requires:</w:t>
      </w:r>
    </w:p>
    <w:p w:rsidR="00000000" w:rsidRPr="00C57EA1" w:rsidP="00C57EA1">
      <w:pPr>
        <w:pStyle w:val="ListBullet"/>
      </w:pPr>
      <w:r w:rsidRPr="00C57EA1">
        <w:t>equipment:</w:t>
      </w:r>
    </w:p>
    <w:p w:rsidR="00000000" w:rsidRPr="00C57EA1" w:rsidP="00C57EA1">
      <w:pPr>
        <w:pStyle w:val="ListBullet2"/>
      </w:pPr>
      <w:r w:rsidRPr="00C57EA1">
        <w:t>EW</w:t>
      </w:r>
      <w:r w:rsidRPr="00C57EA1">
        <w:t>Ps</w:t>
      </w:r>
    </w:p>
    <w:p w:rsidR="00000000" w:rsidRPr="00C57EA1" w:rsidP="00C57EA1">
      <w:pPr>
        <w:pStyle w:val="ListBullet2"/>
      </w:pPr>
      <w:r w:rsidRPr="00C57EA1">
        <w:t>extension leads</w:t>
      </w:r>
    </w:p>
    <w:p w:rsidR="00000000" w:rsidRPr="00C57EA1" w:rsidP="00C57EA1">
      <w:pPr>
        <w:pStyle w:val="ListBullet2"/>
      </w:pPr>
      <w:r w:rsidRPr="00C57EA1">
        <w:t>safety harnesses and lanyards</w:t>
      </w:r>
    </w:p>
    <w:p w:rsidR="00000000" w:rsidRPr="00C57EA1" w:rsidP="00C57EA1">
      <w:pPr>
        <w:pStyle w:val="ListBullet2"/>
      </w:pPr>
      <w:r w:rsidRPr="00C57EA1">
        <w:t>special attachments for the EWP when shifting equipment</w:t>
      </w:r>
    </w:p>
    <w:p w:rsidR="00000000" w:rsidRPr="00C57EA1" w:rsidP="00C57EA1">
      <w:pPr>
        <w:pStyle w:val="ListBullet2"/>
      </w:pPr>
      <w:r w:rsidRPr="00C57EA1">
        <w:t>PPE prescribed under legislation, regulations, codes of practice and workplace policies and practices</w:t>
      </w:r>
    </w:p>
    <w:p w:rsidR="00000000" w:rsidRPr="00C57EA1" w:rsidP="00C57EA1">
      <w:pPr>
        <w:pStyle w:val="ListBullet"/>
      </w:pPr>
      <w:r w:rsidRPr="00C57EA1">
        <w:t>materials:</w:t>
      </w:r>
    </w:p>
    <w:p w:rsidR="00000000" w:rsidRPr="00C57EA1" w:rsidP="00C57EA1">
      <w:pPr>
        <w:pStyle w:val="ListBullet2"/>
      </w:pPr>
      <w:r w:rsidRPr="00C57EA1">
        <w:t>logbooks</w:t>
      </w:r>
    </w:p>
    <w:p w:rsidR="00000000" w:rsidRPr="00C57EA1" w:rsidP="00C57EA1">
      <w:pPr>
        <w:pStyle w:val="ListBullet2"/>
      </w:pPr>
      <w:r w:rsidRPr="00C57EA1">
        <w:t>service manuals</w:t>
      </w:r>
    </w:p>
    <w:p w:rsidR="00000000" w:rsidRPr="00C57EA1" w:rsidP="00C57EA1">
      <w:pPr>
        <w:pStyle w:val="ListBullet2"/>
      </w:pPr>
      <w:r w:rsidRPr="00C57EA1">
        <w:t>operator manuals</w:t>
      </w:r>
    </w:p>
    <w:p w:rsidR="00000000" w:rsidRPr="00C57EA1" w:rsidP="00C57EA1">
      <w:pPr>
        <w:pStyle w:val="ListBullet"/>
      </w:pPr>
      <w:r w:rsidRPr="00C57EA1">
        <w:t>contingencies:</w:t>
      </w:r>
    </w:p>
    <w:p w:rsidR="00000000" w:rsidRPr="00C57EA1" w:rsidP="00C57EA1">
      <w:pPr>
        <w:pStyle w:val="ListBullet2"/>
      </w:pPr>
      <w:r w:rsidRPr="00C57EA1">
        <w:t>uneven terrain</w:t>
      </w:r>
    </w:p>
    <w:p w:rsidR="00000000" w:rsidRPr="00C57EA1" w:rsidP="00C57EA1">
      <w:pPr>
        <w:pStyle w:val="ListBullet"/>
      </w:pPr>
      <w:r w:rsidRPr="00C57EA1">
        <w:t>specifications:</w:t>
      </w:r>
    </w:p>
    <w:p w:rsidR="00000000" w:rsidRPr="00C57EA1" w:rsidP="00C57EA1">
      <w:pPr>
        <w:pStyle w:val="ListBullet2"/>
      </w:pPr>
      <w:r w:rsidRPr="00C57EA1">
        <w:t>AS 2550 Set: Cranes, hoists and winches - Safe use</w:t>
      </w:r>
    </w:p>
    <w:p w:rsidR="00000000" w:rsidRPr="00C57EA1" w:rsidP="00C57EA1">
      <w:pPr>
        <w:pStyle w:val="ListBullet2"/>
      </w:pPr>
      <w:r w:rsidRPr="00C57EA1">
        <w:t>job specifications</w:t>
      </w:r>
    </w:p>
    <w:p w:rsidR="00000000" w:rsidRPr="00C57EA1" w:rsidP="00C57EA1">
      <w:pPr>
        <w:pStyle w:val="ListBullet2"/>
      </w:pPr>
      <w:r w:rsidRPr="00C57EA1">
        <w:t>manufacturer specifications</w:t>
      </w:r>
    </w:p>
    <w:p w:rsidR="00000000" w:rsidRPr="00C57EA1" w:rsidP="00C57EA1">
      <w:pPr>
        <w:pStyle w:val="ListBullet2"/>
      </w:pPr>
      <w:r w:rsidRPr="00C57EA1">
        <w:t>SWMS</w:t>
      </w:r>
    </w:p>
    <w:p w:rsidR="00000000" w:rsidRPr="00C57EA1" w:rsidP="00C57EA1">
      <w:pPr>
        <w:pStyle w:val="ListBullet"/>
      </w:pPr>
      <w:r w:rsidRPr="00C57EA1">
        <w:t>physical conditions:</w:t>
      </w:r>
    </w:p>
    <w:p w:rsidR="00000000" w:rsidRPr="00C57EA1" w:rsidP="00C57EA1">
      <w:pPr>
        <w:pStyle w:val="ListBullet2"/>
      </w:pPr>
      <w:r w:rsidRPr="00C57EA1">
        <w:t>different weather conditions</w:t>
      </w:r>
    </w:p>
    <w:p w:rsidR="00000000" w:rsidRPr="00C57EA1" w:rsidP="00C57EA1">
      <w:pPr>
        <w:pStyle w:val="ListBullet"/>
      </w:pPr>
      <w:r w:rsidRPr="00C57EA1">
        <w:t>relationship with team members and supervisor:</w:t>
      </w:r>
    </w:p>
    <w:p w:rsidR="00000000" w:rsidRPr="00C57EA1" w:rsidP="00C57EA1">
      <w:pPr>
        <w:pStyle w:val="ListBullet2"/>
      </w:pPr>
      <w:r w:rsidRPr="00C57EA1">
        <w:t xml:space="preserve">work is conducted as part of a team </w:t>
      </w:r>
    </w:p>
    <w:p w:rsidR="00000000" w:rsidRPr="00C57EA1" w:rsidP="00C57EA1">
      <w:pPr>
        <w:pStyle w:val="ListBullet"/>
      </w:pPr>
      <w:r w:rsidRPr="00C57EA1">
        <w:t>timeframe:</w:t>
      </w:r>
    </w:p>
    <w:p w:rsidR="00000000" w:rsidRPr="00C57EA1" w:rsidP="00C57EA1">
      <w:pPr>
        <w:pStyle w:val="ListBullet2"/>
      </w:pPr>
      <w:r w:rsidRPr="00C57EA1">
        <w:t>according to job requirements.</w:t>
      </w:r>
    </w:p>
    <w:p w:rsidR="00000000" w:rsidRPr="00C57EA1" w:rsidP="00C57EA1">
      <w:pPr>
        <w:pStyle w:val="BodyText"/>
      </w:pPr>
    </w:p>
    <w:p w:rsidR="00000000" w:rsidRPr="00C57EA1" w:rsidP="0062188F">
      <w:pPr>
        <w:pStyle w:val="Heading3"/>
      </w:pPr>
      <w:r w:rsidRPr="00C57EA1">
        <w:rPr>
          <w:rStyle w:val="SpecialBold"/>
        </w:rPr>
        <w:t>Assessor requirements</w:t>
      </w:r>
    </w:p>
    <w:p w:rsidR="00000000" w:rsidRPr="00C57EA1" w:rsidP="0062188F">
      <w:pPr>
        <w:pStyle w:val="BodyText"/>
      </w:pPr>
      <w:r w:rsidRPr="00C57EA1">
        <w:t xml:space="preserve">As a minimum, assessors must satisfy the assessor requirements in the Standards for Registered Training </w:t>
      </w:r>
      <w:r w:rsidRPr="00C57EA1">
        <w:t>Organisations (RTOs) current at the time of assessment.</w:t>
      </w:r>
    </w:p>
    <w:p w:rsidR="00000000" w:rsidRPr="00C57EA1" w:rsidP="00C57EA1">
      <w:pPr>
        <w:pStyle w:val="Heading1"/>
      </w:pPr>
      <w:bookmarkStart w:id="15" w:name="O_1246505"/>
      <w:bookmarkEnd w:id="15"/>
      <w:r w:rsidRPr="00C57EA1">
        <w:t>Links</w:t>
      </w:r>
    </w:p>
    <w:p w:rsidR="00000000" w:rsidRPr="00C57EA1" w:rsidP="0062188F">
      <w:pPr>
        <w:pStyle w:val="BodyText"/>
      </w:pPr>
      <w:r w:rsidRPr="00C57EA1">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E3746A">
        <w:rPr>
          <w:rStyle w:val="Hyperlink"/>
        </w:rPr>
        <w:t>https://vetnet.gov.au/Pages/TrainingDocs.aspx?q=7e15fa6a-68b8-4097-b099-030a5569b1ad</w:t>
      </w:r>
      <w:r>
        <w:fldChar w:fldCharType="end"/>
      </w:r>
    </w:p>
    <w:p w:rsidR="00000000" w:rsidRPr="00C57EA1" w:rsidP="00C57EA1"/>
    <w:sectPr w:rsidSect="00C57E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E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EA1" w:rsidRPr="0062188F" w:rsidP="006218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E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8F" w:rsidP="00C57E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62188F" w:rsidP="00C57E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2188F" w:rsidP="00C57E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EA1" w:rsidP="00C57EA1">
    <w:pPr>
      <w:pStyle w:val="Footer"/>
      <w:framePr w:wrap="around"/>
    </w:pPr>
    <w:r>
      <w:fldChar w:fldCharType="begin"/>
    </w:r>
    <w:r>
      <w:instrText xml:space="preserve"> DOCPROPERTY  Subject  \* MERGEFORMAT </w:instrText>
    </w:r>
    <w:r>
      <w:fldChar w:fldCharType="separate"/>
    </w:r>
    <w:r w:rsidR="0062188F">
      <w:t>Approved</w:t>
    </w:r>
    <w:r w:rsidR="0062188F">
      <w:fldChar w:fldCharType="end"/>
    </w:r>
    <w:r>
      <w:tab/>
      <w:t xml:space="preserve">Page </w:t>
    </w:r>
    <w:r>
      <w:fldChar w:fldCharType="begin"/>
    </w:r>
    <w:r>
      <w:instrText xml:space="preserve"> PAGE  \* Arabic  \* MERGEFORMAT </w:instrText>
    </w:r>
    <w:r>
      <w:fldChar w:fldCharType="separate"/>
    </w:r>
    <w:r w:rsidR="0062188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188F">
      <w:rPr>
        <w:noProof/>
      </w:rPr>
      <w:t>8</w:t>
    </w:r>
    <w:r>
      <w:rPr>
        <w:noProof/>
      </w:rPr>
      <w:fldChar w:fldCharType="end"/>
    </w:r>
  </w:p>
  <w:p w:rsidR="00C57EA1" w:rsidP="00C57EA1">
    <w:pPr>
      <w:pStyle w:val="Footer"/>
      <w:framePr w:wrap="around"/>
    </w:pPr>
    <w:r>
      <w:t xml:space="preserve">© Commonwealth of Australia, </w:t>
    </w:r>
    <w:r>
      <w:fldChar w:fldCharType="begin"/>
    </w:r>
    <w:r>
      <w:instrText xml:space="preserve"> DATE  \@ "yyyy"  \* MERGEFORMAT </w:instrText>
    </w:r>
    <w:r>
      <w:fldChar w:fldCharType="separate"/>
    </w:r>
    <w:r w:rsidR="0062188F">
      <w:rPr>
        <w:noProof/>
      </w:rPr>
      <w:t>2025</w:t>
    </w:r>
    <w:r>
      <w:fldChar w:fldCharType="end"/>
    </w:r>
    <w:r>
      <w:tab/>
    </w:r>
    <w:r>
      <w:fldChar w:fldCharType="begin"/>
    </w:r>
    <w:r>
      <w:instrText xml:space="preserve"> DOCPROPERTY  Author  \* MERGEFORMAT </w:instrText>
    </w:r>
    <w:r>
      <w:fldChar w:fldCharType="separate"/>
    </w:r>
    <w:r w:rsidR="0062188F">
      <w:t>BuildSkills Australia</w:t>
    </w:r>
    <w:r w:rsidR="0062188F">
      <w:fldChar w:fldCharType="end"/>
    </w:r>
  </w:p>
  <w:p w:rsidR="00C57EA1" w:rsidP="00C57E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E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7EA1" w:rsidRPr="0062188F" w:rsidP="006218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E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8F" w:rsidRPr="002D2AF8" w:rsidP="00C57EA1">
    <w:pPr>
      <w:pStyle w:val="Header"/>
      <w:framePr w:wrap="around"/>
    </w:pPr>
    <w:r>
      <w:fldChar w:fldCharType="begin"/>
    </w:r>
    <w:r>
      <w:instrText xml:space="preserve"> TITLE   \* MERGEFORMAT </w:instrText>
    </w:r>
    <w:r>
      <w:fldChar w:fldCharType="separate"/>
    </w:r>
    <w:r>
      <w:t>CPCCCM3001 Operate elevated work platforms up to 11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188F" w:rsidP="00C57E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EA1" w:rsidRPr="002D2AF8" w:rsidP="00C57EA1">
    <w:pPr>
      <w:pStyle w:val="Header"/>
      <w:framePr w:wrap="around"/>
    </w:pPr>
    <w:r>
      <w:fldChar w:fldCharType="begin"/>
    </w:r>
    <w:r>
      <w:instrText xml:space="preserve"> TITLE   \* MERGEFORMAT </w:instrText>
    </w:r>
    <w:r>
      <w:fldChar w:fldCharType="separate"/>
    </w:r>
    <w:r w:rsidR="0062188F">
      <w:t>CPCCCM3001 Operate elevated work platforms up to 11 metres</w:t>
    </w:r>
    <w:r w:rsidR="0062188F">
      <w:fldChar w:fldCharType="end"/>
    </w:r>
    <w:r>
      <w:tab/>
      <w:t xml:space="preserve">Date this document was generated: </w:t>
    </w:r>
    <w:r>
      <w:fldChar w:fldCharType="begin"/>
    </w:r>
    <w:r>
      <w:instrText xml:space="preserve"> CREATEDATE  \@ "d MMMM yyyy"  \* MERGEFORMAT </w:instrText>
    </w:r>
    <w:r>
      <w:fldChar w:fldCharType="separate"/>
    </w:r>
    <w:r w:rsidR="0062188F">
      <w:rPr>
        <w:noProof/>
      </w:rPr>
      <w:t>2 March 2025</w:t>
    </w:r>
    <w:r>
      <w:fldChar w:fldCharType="end"/>
    </w:r>
  </w:p>
  <w:p w:rsidR="00C57EA1" w:rsidP="00C57E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FAE1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1EC0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5C32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E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7EA1"/>
    <w:pPr>
      <w:spacing w:before="360" w:after="60"/>
      <w:outlineLvl w:val="0"/>
    </w:pPr>
    <w:rPr>
      <w:sz w:val="32"/>
    </w:rPr>
  </w:style>
  <w:style w:type="paragraph" w:styleId="Heading2">
    <w:name w:val="heading 2"/>
    <w:basedOn w:val="HeadingBase"/>
    <w:next w:val="BodyText"/>
    <w:link w:val="Heading2Char"/>
    <w:qFormat/>
    <w:rsid w:val="00C57EA1"/>
    <w:pPr>
      <w:keepLines/>
      <w:spacing w:before="240" w:after="120"/>
      <w:outlineLvl w:val="1"/>
    </w:pPr>
    <w:rPr>
      <w:sz w:val="28"/>
      <w:szCs w:val="40"/>
    </w:rPr>
  </w:style>
  <w:style w:type="paragraph" w:styleId="Heading3">
    <w:name w:val="heading 3"/>
    <w:basedOn w:val="HeadingBase"/>
    <w:next w:val="BodyText"/>
    <w:link w:val="Heading3Char"/>
    <w:qFormat/>
    <w:rsid w:val="00C57EA1"/>
    <w:pPr>
      <w:spacing w:before="180" w:after="120"/>
      <w:outlineLvl w:val="2"/>
    </w:pPr>
    <w:rPr>
      <w:spacing w:val="-10"/>
      <w:kern w:val="32"/>
    </w:rPr>
  </w:style>
  <w:style w:type="paragraph" w:styleId="Heading4">
    <w:name w:val="heading 4"/>
    <w:basedOn w:val="HeadingBase"/>
    <w:next w:val="BodyText"/>
    <w:link w:val="Heading4Char"/>
    <w:qFormat/>
    <w:rsid w:val="00C57EA1"/>
    <w:pPr>
      <w:spacing w:before="160" w:after="120"/>
      <w:outlineLvl w:val="3"/>
    </w:pPr>
    <w:rPr>
      <w:sz w:val="22"/>
    </w:rPr>
  </w:style>
  <w:style w:type="paragraph" w:styleId="Heading5">
    <w:name w:val="heading 5"/>
    <w:basedOn w:val="HeadingBase"/>
    <w:next w:val="Normal"/>
    <w:link w:val="Heading5Char"/>
    <w:qFormat/>
    <w:rsid w:val="00C57EA1"/>
    <w:pPr>
      <w:spacing w:before="80"/>
      <w:outlineLvl w:val="4"/>
    </w:pPr>
    <w:rPr>
      <w:color w:val="918585"/>
      <w:sz w:val="20"/>
    </w:rPr>
  </w:style>
  <w:style w:type="paragraph" w:styleId="Heading6">
    <w:name w:val="heading 6"/>
    <w:basedOn w:val="HeadingBase"/>
    <w:next w:val="Normal"/>
    <w:link w:val="Heading6Char"/>
    <w:qFormat/>
    <w:rsid w:val="00C57EA1"/>
    <w:pPr>
      <w:spacing w:before="60"/>
      <w:outlineLvl w:val="5"/>
    </w:pPr>
    <w:rPr>
      <w:color w:val="918585"/>
      <w:sz w:val="20"/>
    </w:rPr>
  </w:style>
  <w:style w:type="paragraph" w:styleId="Heading7">
    <w:name w:val="heading 7"/>
    <w:basedOn w:val="Normal"/>
    <w:next w:val="Normal"/>
    <w:link w:val="Heading7Char"/>
    <w:qFormat/>
    <w:rsid w:val="00C57EA1"/>
    <w:pPr>
      <w:ind w:left="720"/>
      <w:outlineLvl w:val="6"/>
    </w:pPr>
    <w:rPr>
      <w:i/>
    </w:rPr>
  </w:style>
  <w:style w:type="paragraph" w:styleId="Heading8">
    <w:name w:val="heading 8"/>
    <w:basedOn w:val="Normal"/>
    <w:next w:val="Normal"/>
    <w:link w:val="Heading8Char"/>
    <w:qFormat/>
    <w:rsid w:val="00C57EA1"/>
    <w:pPr>
      <w:ind w:left="720"/>
      <w:outlineLvl w:val="7"/>
    </w:pPr>
    <w:rPr>
      <w:i/>
    </w:rPr>
  </w:style>
  <w:style w:type="paragraph" w:styleId="Heading9">
    <w:name w:val="heading 9"/>
    <w:basedOn w:val="Normal"/>
    <w:next w:val="Normal"/>
    <w:link w:val="Heading9Char"/>
    <w:qFormat/>
    <w:rsid w:val="00C57EA1"/>
    <w:pPr>
      <w:ind w:left="720"/>
      <w:outlineLvl w:val="8"/>
    </w:pPr>
    <w:rPr>
      <w:i/>
    </w:rPr>
  </w:style>
  <w:style w:type="character" w:default="1" w:styleId="DefaultParagraphFont">
    <w:name w:val="Default Paragraph Font"/>
    <w:uiPriority w:val="1"/>
    <w:unhideWhenUsed/>
    <w:rsid w:val="00C57E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7EA1"/>
  </w:style>
  <w:style w:type="character" w:customStyle="1" w:styleId="Heading1Char">
    <w:name w:val="Heading 1 Char"/>
    <w:basedOn w:val="DefaultParagraphFont"/>
    <w:link w:val="Heading1"/>
    <w:rsid w:val="00C57EA1"/>
    <w:rPr>
      <w:rFonts w:ascii="Times New Roman" w:eastAsia="Times New Roman" w:hAnsi="Times New Roman" w:cs="Times New Roman"/>
      <w:b/>
      <w:sz w:val="32"/>
      <w:szCs w:val="20"/>
      <w:lang w:eastAsia="en-US"/>
    </w:rPr>
  </w:style>
  <w:style w:type="paragraph" w:styleId="BodyText">
    <w:name w:val="Body Text"/>
    <w:basedOn w:val="Normal"/>
    <w:link w:val="BodyTextChar"/>
    <w:rsid w:val="00C57E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7EA1"/>
    <w:rPr>
      <w:rFonts w:ascii="Times New Roman" w:eastAsia="Times New Roman" w:hAnsi="Times New Roman" w:cs="Times New Roman"/>
      <w:sz w:val="24"/>
      <w:lang w:eastAsia="en-US"/>
    </w:rPr>
  </w:style>
  <w:style w:type="paragraph" w:styleId="ListBullet">
    <w:name w:val="List Bullet"/>
    <w:basedOn w:val="List"/>
    <w:rsid w:val="00C57EA1"/>
    <w:pPr>
      <w:numPr>
        <w:numId w:val="13"/>
      </w:numPr>
      <w:tabs>
        <w:tab w:val="clear" w:pos="340"/>
      </w:tabs>
      <w:spacing w:before="40" w:after="40"/>
    </w:pPr>
  </w:style>
  <w:style w:type="character" w:customStyle="1" w:styleId="SpecialBold">
    <w:name w:val="Special Bold"/>
    <w:basedOn w:val="DefaultParagraphFont"/>
    <w:rsid w:val="00C57EA1"/>
    <w:rPr>
      <w:b/>
      <w:spacing w:val="0"/>
    </w:rPr>
  </w:style>
  <w:style w:type="paragraph" w:styleId="ListBullet2">
    <w:name w:val="List Bullet 2"/>
    <w:basedOn w:val="List2"/>
    <w:rsid w:val="00C57EA1"/>
    <w:pPr>
      <w:numPr>
        <w:numId w:val="14"/>
      </w:numPr>
      <w:tabs>
        <w:tab w:val="clear" w:pos="680"/>
      </w:tabs>
    </w:pPr>
  </w:style>
  <w:style w:type="paragraph" w:customStyle="1" w:styleId="SuperHeading">
    <w:name w:val="SuperHeading"/>
    <w:basedOn w:val="Normal"/>
    <w:rsid w:val="00C57EA1"/>
    <w:pPr>
      <w:spacing w:before="240" w:after="120"/>
      <w:outlineLvl w:val="0"/>
    </w:pPr>
    <w:rPr>
      <w:rFonts w:ascii="Times New Roman" w:hAnsi="Times New Roman"/>
      <w:b/>
      <w:sz w:val="32"/>
    </w:rPr>
  </w:style>
  <w:style w:type="paragraph" w:customStyle="1" w:styleId="AllowPageBreak">
    <w:name w:val="AllowPageBreak"/>
    <w:rsid w:val="00C57EA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57EA1"/>
    <w:pPr>
      <w:numPr>
        <w:numId w:val="3"/>
      </w:numPr>
      <w:tabs>
        <w:tab w:val="clear" w:pos="1021"/>
      </w:tabs>
      <w:ind w:left="1037" w:hanging="357"/>
    </w:pPr>
  </w:style>
  <w:style w:type="character" w:customStyle="1" w:styleId="BoldandItalics">
    <w:name w:val="Bold and Italics"/>
    <w:qFormat/>
    <w:rsid w:val="00C57EA1"/>
    <w:rPr>
      <w:b/>
      <w:i/>
      <w:u w:val="none"/>
    </w:rPr>
  </w:style>
  <w:style w:type="character" w:customStyle="1" w:styleId="Heading2Char">
    <w:name w:val="Heading 2 Char"/>
    <w:basedOn w:val="DefaultParagraphFont"/>
    <w:link w:val="Heading2"/>
    <w:rsid w:val="00C57E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7E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7E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7E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7E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7E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7E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7EA1"/>
    <w:rPr>
      <w:rFonts w:ascii="Courier New" w:eastAsia="Times New Roman" w:hAnsi="Courier New" w:cs="Times New Roman"/>
      <w:i/>
      <w:szCs w:val="20"/>
      <w:lang w:eastAsia="en-US"/>
    </w:rPr>
  </w:style>
  <w:style w:type="paragraph" w:customStyle="1" w:styleId="HeadingBase">
    <w:name w:val="Heading Base"/>
    <w:rsid w:val="00C57E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7EA1"/>
    <w:pPr>
      <w:tabs>
        <w:tab w:val="right" w:leader="dot" w:pos="9072"/>
      </w:tabs>
      <w:ind w:left="567"/>
    </w:pPr>
    <w:rPr>
      <w:szCs w:val="22"/>
    </w:rPr>
  </w:style>
  <w:style w:type="paragraph" w:customStyle="1" w:styleId="TOCBase">
    <w:name w:val="TOC Base"/>
    <w:rsid w:val="00C57E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7EA1"/>
    <w:pPr>
      <w:tabs>
        <w:tab w:val="right" w:leader="dot" w:pos="9072"/>
      </w:tabs>
      <w:spacing w:before="40" w:after="40"/>
      <w:ind w:left="284"/>
    </w:pPr>
    <w:rPr>
      <w:rFonts w:ascii="Times New Roman" w:hAnsi="Times New Roman"/>
    </w:rPr>
  </w:style>
  <w:style w:type="paragraph" w:styleId="TOC1">
    <w:name w:val="toc 1"/>
    <w:basedOn w:val="TOCBase"/>
    <w:next w:val="Normal"/>
    <w:rsid w:val="00C57E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7E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7EA1"/>
    <w:rPr>
      <w:rFonts w:ascii="Times New Roman" w:eastAsia="Times New Roman" w:hAnsi="Times New Roman" w:cs="Times New Roman"/>
      <w:sz w:val="16"/>
      <w:lang w:eastAsia="en-US"/>
    </w:rPr>
  </w:style>
  <w:style w:type="paragraph" w:styleId="Title">
    <w:name w:val="Title"/>
    <w:basedOn w:val="HeadingBase"/>
    <w:link w:val="TitleChar"/>
    <w:qFormat/>
    <w:rsid w:val="00C57EA1"/>
    <w:pPr>
      <w:spacing w:before="5040"/>
      <w:jc w:val="center"/>
    </w:pPr>
    <w:rPr>
      <w:sz w:val="48"/>
      <w:szCs w:val="72"/>
      <w:lang w:val="en-US"/>
    </w:rPr>
  </w:style>
  <w:style w:type="character" w:customStyle="1" w:styleId="TitleChar">
    <w:name w:val="Title Char"/>
    <w:basedOn w:val="DefaultParagraphFont"/>
    <w:link w:val="Title"/>
    <w:rsid w:val="00C57E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7EA1"/>
    <w:pPr>
      <w:tabs>
        <w:tab w:val="left" w:pos="3600"/>
        <w:tab w:val="left" w:pos="3958"/>
      </w:tabs>
    </w:pPr>
  </w:style>
  <w:style w:type="paragraph" w:styleId="List">
    <w:name w:val="List"/>
    <w:basedOn w:val="BodyText"/>
    <w:next w:val="BodyText"/>
    <w:rsid w:val="00C57EA1"/>
    <w:pPr>
      <w:tabs>
        <w:tab w:val="left" w:pos="340"/>
      </w:tabs>
      <w:spacing w:before="60" w:after="60"/>
      <w:ind w:left="340" w:hanging="340"/>
    </w:pPr>
  </w:style>
  <w:style w:type="paragraph" w:customStyle="1" w:styleId="Note">
    <w:name w:val="Note"/>
    <w:basedOn w:val="BodyText"/>
    <w:rsid w:val="00C57E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7EA1"/>
    <w:pPr>
      <w:framePr w:wrap="auto" w:hAnchor="text" w:y="6049"/>
    </w:pPr>
    <w:rPr>
      <w:color w:val="000000"/>
      <w:sz w:val="40"/>
    </w:rPr>
  </w:style>
  <w:style w:type="paragraph" w:customStyle="1" w:styleId="TOCTitle">
    <w:name w:val="TOCTitle"/>
    <w:basedOn w:val="Heading1"/>
    <w:rsid w:val="00C57EA1"/>
    <w:pPr>
      <w:spacing w:after="240"/>
      <w:jc w:val="center"/>
      <w:outlineLvl w:val="9"/>
    </w:pPr>
    <w:rPr>
      <w:caps/>
    </w:rPr>
  </w:style>
  <w:style w:type="paragraph" w:customStyle="1" w:styleId="Version">
    <w:name w:val="Version"/>
    <w:rsid w:val="00C57E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7EA1"/>
    <w:pPr>
      <w:keepNext w:val="0"/>
      <w:tabs>
        <w:tab w:val="right" w:pos="4176"/>
      </w:tabs>
      <w:ind w:left="198" w:hanging="198"/>
    </w:pPr>
    <w:rPr>
      <w:rFonts w:ascii="Garamond" w:hAnsi="Garamond"/>
    </w:rPr>
  </w:style>
  <w:style w:type="paragraph" w:styleId="IndexHeading">
    <w:name w:val="index heading"/>
    <w:basedOn w:val="Normal"/>
    <w:next w:val="Index1"/>
    <w:semiHidden/>
    <w:rsid w:val="00C57EA1"/>
    <w:pPr>
      <w:spacing w:before="120" w:after="120"/>
    </w:pPr>
    <w:rPr>
      <w:rFonts w:ascii="Arial" w:hAnsi="Arial"/>
      <w:b/>
      <w:color w:val="918585"/>
      <w:sz w:val="24"/>
    </w:rPr>
  </w:style>
  <w:style w:type="paragraph" w:styleId="Header">
    <w:name w:val="header"/>
    <w:basedOn w:val="Normal"/>
    <w:link w:val="HeaderChar"/>
    <w:rsid w:val="00C57E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7EA1"/>
    <w:rPr>
      <w:rFonts w:ascii="Times New Roman" w:eastAsia="Times New Roman" w:hAnsi="Times New Roman" w:cs="Times New Roman"/>
      <w:sz w:val="16"/>
      <w:szCs w:val="20"/>
      <w:lang w:val="en-GB" w:eastAsia="en-US"/>
    </w:rPr>
  </w:style>
  <w:style w:type="paragraph" w:customStyle="1" w:styleId="Chapter">
    <w:name w:val="Chapter"/>
    <w:basedOn w:val="Normal"/>
    <w:rsid w:val="00C57EA1"/>
    <w:pPr>
      <w:spacing w:before="240"/>
    </w:pPr>
    <w:rPr>
      <w:rFonts w:ascii="Times New Roman" w:hAnsi="Times New Roman"/>
      <w:smallCaps/>
      <w:spacing w:val="80"/>
      <w:sz w:val="28"/>
    </w:rPr>
  </w:style>
  <w:style w:type="paragraph" w:customStyle="1" w:styleId="InChapter">
    <w:name w:val="InChapter"/>
    <w:basedOn w:val="Heading3"/>
    <w:rsid w:val="00C57EA1"/>
    <w:pPr>
      <w:spacing w:after="240"/>
      <w:outlineLvl w:val="9"/>
    </w:pPr>
    <w:rPr>
      <w:noProof/>
    </w:rPr>
  </w:style>
  <w:style w:type="paragraph" w:styleId="Index2">
    <w:name w:val="index 2"/>
    <w:basedOn w:val="Normal"/>
    <w:next w:val="Normal"/>
    <w:semiHidden/>
    <w:rsid w:val="00C57EA1"/>
    <w:pPr>
      <w:tabs>
        <w:tab w:val="right" w:pos="4176"/>
      </w:tabs>
      <w:ind w:left="568" w:hanging="284"/>
    </w:pPr>
    <w:rPr>
      <w:rFonts w:ascii="Garamond" w:hAnsi="Garamond"/>
    </w:rPr>
  </w:style>
  <w:style w:type="paragraph" w:customStyle="1" w:styleId="Byline">
    <w:name w:val="Byline"/>
    <w:rsid w:val="00C57E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7EA1"/>
    <w:pPr>
      <w:tabs>
        <w:tab w:val="clear" w:pos="3600"/>
        <w:tab w:val="clear" w:pos="3958"/>
      </w:tabs>
      <w:jc w:val="right"/>
    </w:pPr>
  </w:style>
  <w:style w:type="character" w:styleId="Emphasis">
    <w:name w:val="Emphasis"/>
    <w:basedOn w:val="DefaultParagraphFont"/>
    <w:qFormat/>
    <w:rsid w:val="00C57EA1"/>
    <w:rPr>
      <w:i/>
    </w:rPr>
  </w:style>
  <w:style w:type="paragraph" w:styleId="Caption">
    <w:name w:val="caption"/>
    <w:basedOn w:val="BodyText"/>
    <w:next w:val="Normal"/>
    <w:qFormat/>
    <w:rsid w:val="00C57EA1"/>
    <w:pPr>
      <w:framePr w:w="2268" w:hSpace="181" w:vSpace="181" w:wrap="around" w:vAnchor="text" w:hAnchor="page" w:x="1135" w:y="285" w:anchorLock="1"/>
    </w:pPr>
    <w:rPr>
      <w:i/>
    </w:rPr>
  </w:style>
  <w:style w:type="paragraph" w:customStyle="1" w:styleId="MiniTOCTitle">
    <w:name w:val="MiniTOCTitle"/>
    <w:basedOn w:val="Heading4"/>
    <w:rsid w:val="00C57EA1"/>
    <w:pPr>
      <w:spacing w:before="240"/>
      <w:outlineLvl w:val="9"/>
    </w:pPr>
    <w:rPr>
      <w:noProof/>
      <w:sz w:val="24"/>
    </w:rPr>
  </w:style>
  <w:style w:type="paragraph" w:customStyle="1" w:styleId="MiniTOCItem">
    <w:name w:val="MiniTOCItem"/>
    <w:basedOn w:val="ListBullet"/>
    <w:rsid w:val="00C57EA1"/>
    <w:pPr>
      <w:numPr>
        <w:numId w:val="0"/>
      </w:numPr>
      <w:tabs>
        <w:tab w:val="right" w:leader="dot" w:pos="6521"/>
      </w:tabs>
      <w:spacing w:before="0" w:after="0"/>
    </w:pPr>
  </w:style>
  <w:style w:type="paragraph" w:customStyle="1" w:styleId="TOFTitle">
    <w:name w:val="TOFTitle"/>
    <w:basedOn w:val="TOCTitle"/>
    <w:rsid w:val="00C57EA1"/>
  </w:style>
  <w:style w:type="paragraph" w:styleId="TableofFigures">
    <w:name w:val="table of figures"/>
    <w:basedOn w:val="Normal"/>
    <w:next w:val="Normal"/>
    <w:semiHidden/>
    <w:rsid w:val="00C57EA1"/>
    <w:pPr>
      <w:tabs>
        <w:tab w:val="right" w:leader="dot" w:pos="9072"/>
      </w:tabs>
      <w:ind w:left="970" w:hanging="403"/>
    </w:pPr>
    <w:rPr>
      <w:rFonts w:ascii="Times New Roman" w:hAnsi="Times New Roman"/>
      <w:b/>
    </w:rPr>
  </w:style>
  <w:style w:type="paragraph" w:styleId="ListNumber">
    <w:name w:val="List Number"/>
    <w:basedOn w:val="List"/>
    <w:rsid w:val="00C57EA1"/>
    <w:pPr>
      <w:numPr>
        <w:numId w:val="16"/>
      </w:numPr>
      <w:tabs>
        <w:tab w:val="clear" w:pos="340"/>
      </w:tabs>
    </w:pPr>
  </w:style>
  <w:style w:type="character" w:customStyle="1" w:styleId="WingdingSymbols">
    <w:name w:val="Wingding Symbols"/>
    <w:rsid w:val="00C57EA1"/>
    <w:rPr>
      <w:rFonts w:ascii="Wingdings" w:hAnsi="Wingdings"/>
    </w:rPr>
  </w:style>
  <w:style w:type="paragraph" w:customStyle="1" w:styleId="TableHeading">
    <w:name w:val="Table Heading"/>
    <w:basedOn w:val="HeadingBase"/>
    <w:rsid w:val="00C57EA1"/>
    <w:pPr>
      <w:keepLines/>
      <w:pBdr>
        <w:bottom w:val="single" w:sz="6" w:space="1" w:color="918585"/>
      </w:pBdr>
      <w:spacing w:before="240"/>
    </w:pPr>
  </w:style>
  <w:style w:type="character" w:customStyle="1" w:styleId="HotSpot">
    <w:name w:val="HotSpot"/>
    <w:rsid w:val="00C57EA1"/>
    <w:rPr>
      <w:color w:val="0033CC"/>
      <w:u w:val="none"/>
    </w:rPr>
  </w:style>
  <w:style w:type="paragraph" w:customStyle="1" w:styleId="BodyTextRight">
    <w:name w:val="Body Text Right"/>
    <w:basedOn w:val="BodyText"/>
    <w:rsid w:val="00C57EA1"/>
    <w:pPr>
      <w:spacing w:before="0" w:after="0"/>
      <w:jc w:val="right"/>
    </w:pPr>
  </w:style>
  <w:style w:type="paragraph" w:styleId="Index3">
    <w:name w:val="index 3"/>
    <w:basedOn w:val="ListNumber2"/>
    <w:next w:val="Normal"/>
    <w:semiHidden/>
    <w:rsid w:val="00C57EA1"/>
    <w:pPr>
      <w:numPr>
        <w:numId w:val="0"/>
      </w:numPr>
      <w:tabs>
        <w:tab w:val="right" w:leader="dot" w:pos="4176"/>
      </w:tabs>
    </w:pPr>
  </w:style>
  <w:style w:type="paragraph" w:styleId="ListNumber2">
    <w:name w:val="List Number 2"/>
    <w:basedOn w:val="List2"/>
    <w:rsid w:val="00C57EA1"/>
    <w:pPr>
      <w:numPr>
        <w:numId w:val="11"/>
      </w:numPr>
      <w:tabs>
        <w:tab w:val="clear" w:pos="1060"/>
      </w:tabs>
    </w:pPr>
  </w:style>
  <w:style w:type="paragraph" w:customStyle="1" w:styleId="MarginNote">
    <w:name w:val="Margin Note"/>
    <w:basedOn w:val="BodyText"/>
    <w:rsid w:val="00C57E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7E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7E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7EA1"/>
    <w:rPr>
      <w:sz w:val="32"/>
    </w:rPr>
  </w:style>
  <w:style w:type="paragraph" w:customStyle="1" w:styleId="HeadingProcedure">
    <w:name w:val="Heading Procedure"/>
    <w:basedOn w:val="HeadingBase"/>
    <w:next w:val="Normal"/>
    <w:rsid w:val="00C57EA1"/>
    <w:pPr>
      <w:tabs>
        <w:tab w:val="left" w:pos="0"/>
      </w:tabs>
      <w:spacing w:before="120" w:after="60"/>
    </w:pPr>
    <w:rPr>
      <w:i/>
      <w:color w:val="918585"/>
      <w:sz w:val="22"/>
    </w:rPr>
  </w:style>
  <w:style w:type="paragraph" w:customStyle="1" w:styleId="TableBodyText">
    <w:name w:val="Table Body Text"/>
    <w:basedOn w:val="BodyText"/>
    <w:rsid w:val="00C57EA1"/>
    <w:pPr>
      <w:spacing w:before="60" w:after="60"/>
    </w:pPr>
  </w:style>
  <w:style w:type="paragraph" w:styleId="ListContinue">
    <w:name w:val="List Continue"/>
    <w:basedOn w:val="List"/>
    <w:rsid w:val="00C57EA1"/>
    <w:pPr>
      <w:ind w:firstLine="0"/>
    </w:pPr>
  </w:style>
  <w:style w:type="paragraph" w:customStyle="1" w:styleId="ListNote">
    <w:name w:val="List Note"/>
    <w:basedOn w:val="List"/>
    <w:rsid w:val="00C57EA1"/>
    <w:pPr>
      <w:pBdr>
        <w:top w:val="single" w:sz="6" w:space="2" w:color="918585"/>
        <w:bottom w:val="single" w:sz="6" w:space="2" w:color="918585"/>
      </w:pBdr>
      <w:tabs>
        <w:tab w:val="left" w:pos="1021"/>
      </w:tabs>
      <w:ind w:firstLine="0"/>
    </w:pPr>
  </w:style>
  <w:style w:type="paragraph" w:customStyle="1" w:styleId="Warning">
    <w:name w:val="Warning"/>
    <w:basedOn w:val="BodyText"/>
    <w:rsid w:val="00C57EA1"/>
    <w:pPr>
      <w:shd w:val="clear" w:color="auto" w:fill="D9D9D9"/>
      <w:tabs>
        <w:tab w:val="left" w:pos="992"/>
      </w:tabs>
      <w:ind w:left="119" w:right="119"/>
    </w:pPr>
    <w:rPr>
      <w:sz w:val="20"/>
    </w:rPr>
  </w:style>
  <w:style w:type="paragraph" w:customStyle="1" w:styleId="MarginIcons">
    <w:name w:val="Margin Icons"/>
    <w:basedOn w:val="BodyText"/>
    <w:rsid w:val="00C57E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7EA1"/>
    <w:rPr>
      <w:rFonts w:ascii="Courier New" w:hAnsi="Courier New"/>
    </w:rPr>
  </w:style>
  <w:style w:type="paragraph" w:customStyle="1" w:styleId="NoteBullet">
    <w:name w:val="Note Bullet"/>
    <w:basedOn w:val="Note"/>
    <w:rsid w:val="00C57EA1"/>
    <w:pPr>
      <w:tabs>
        <w:tab w:val="clear" w:pos="680"/>
      </w:tabs>
      <w:spacing w:before="60" w:after="60"/>
    </w:pPr>
  </w:style>
  <w:style w:type="paragraph" w:customStyle="1" w:styleId="SubHeading2">
    <w:name w:val="SubHeading2"/>
    <w:basedOn w:val="HeadingBase"/>
    <w:rsid w:val="00C57EA1"/>
    <w:pPr>
      <w:spacing w:before="240" w:after="60"/>
    </w:pPr>
    <w:rPr>
      <w:sz w:val="20"/>
    </w:rPr>
  </w:style>
  <w:style w:type="paragraph" w:customStyle="1" w:styleId="SubHeading1">
    <w:name w:val="SubHeading1"/>
    <w:basedOn w:val="HeadingBase"/>
    <w:rsid w:val="00C57EA1"/>
    <w:pPr>
      <w:spacing w:before="240" w:after="60"/>
    </w:pPr>
    <w:rPr>
      <w:color w:val="918585"/>
      <w:sz w:val="22"/>
    </w:rPr>
  </w:style>
  <w:style w:type="paragraph" w:customStyle="1" w:styleId="SideHeading">
    <w:name w:val="Side Heading"/>
    <w:basedOn w:val="HeadingBase"/>
    <w:rsid w:val="00C57E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7EA1"/>
    <w:pPr>
      <w:numPr>
        <w:numId w:val="12"/>
      </w:numPr>
    </w:pPr>
  </w:style>
  <w:style w:type="paragraph" w:styleId="PlainText">
    <w:name w:val="Plain Text"/>
    <w:basedOn w:val="Normal"/>
    <w:link w:val="PlainTextChar"/>
    <w:rsid w:val="00C57EA1"/>
    <w:rPr>
      <w:sz w:val="20"/>
    </w:rPr>
  </w:style>
  <w:style w:type="character" w:customStyle="1" w:styleId="PlainTextChar">
    <w:name w:val="Plain Text Char"/>
    <w:basedOn w:val="DefaultParagraphFont"/>
    <w:link w:val="PlainText"/>
    <w:rsid w:val="00C57EA1"/>
    <w:rPr>
      <w:rFonts w:ascii="Courier New" w:eastAsia="Times New Roman" w:hAnsi="Courier New" w:cs="Times New Roman"/>
      <w:sz w:val="20"/>
      <w:szCs w:val="20"/>
      <w:lang w:eastAsia="en-US"/>
    </w:rPr>
  </w:style>
  <w:style w:type="character" w:customStyle="1" w:styleId="MenuOption">
    <w:name w:val="Menu Option"/>
    <w:basedOn w:val="DefaultParagraphFont"/>
    <w:rsid w:val="00C57EA1"/>
    <w:rPr>
      <w:b/>
      <w:smallCaps/>
    </w:rPr>
  </w:style>
  <w:style w:type="paragraph" w:customStyle="1" w:styleId="TableListNumber">
    <w:name w:val="Table List Number"/>
    <w:basedOn w:val="ListNumber"/>
    <w:rsid w:val="00C57EA1"/>
    <w:pPr>
      <w:numPr>
        <w:numId w:val="0"/>
      </w:numPr>
    </w:pPr>
  </w:style>
  <w:style w:type="paragraph" w:styleId="TOC4">
    <w:name w:val="toc 4"/>
    <w:basedOn w:val="TOCBase"/>
    <w:next w:val="Normal"/>
    <w:semiHidden/>
    <w:rsid w:val="00C57EA1"/>
    <w:pPr>
      <w:tabs>
        <w:tab w:val="right" w:leader="dot" w:pos="9071"/>
      </w:tabs>
      <w:ind w:left="1701"/>
    </w:pPr>
  </w:style>
  <w:style w:type="paragraph" w:customStyle="1" w:styleId="ListAlpha">
    <w:name w:val="List Alpha"/>
    <w:basedOn w:val="List"/>
    <w:rsid w:val="00C57EA1"/>
    <w:pPr>
      <w:numPr>
        <w:numId w:val="10"/>
      </w:numPr>
    </w:pPr>
  </w:style>
  <w:style w:type="paragraph" w:customStyle="1" w:styleId="ListAlpha2">
    <w:name w:val="List Alpha 2"/>
    <w:basedOn w:val="List2"/>
    <w:rsid w:val="00C57EA1"/>
    <w:pPr>
      <w:numPr>
        <w:numId w:val="9"/>
      </w:numPr>
    </w:pPr>
  </w:style>
  <w:style w:type="paragraph" w:styleId="List2">
    <w:name w:val="List 2"/>
    <w:basedOn w:val="BodyText"/>
    <w:rsid w:val="00C57EA1"/>
    <w:pPr>
      <w:tabs>
        <w:tab w:val="left" w:pos="680"/>
      </w:tabs>
      <w:spacing w:before="60" w:after="60"/>
      <w:ind w:left="680" w:hanging="340"/>
    </w:pPr>
  </w:style>
  <w:style w:type="paragraph" w:styleId="List3">
    <w:name w:val="List 3"/>
    <w:basedOn w:val="BodyText"/>
    <w:rsid w:val="00C57EA1"/>
    <w:pPr>
      <w:tabs>
        <w:tab w:val="left" w:pos="1021"/>
      </w:tabs>
      <w:spacing w:before="60" w:after="60"/>
      <w:ind w:left="1020" w:hanging="340"/>
    </w:pPr>
  </w:style>
  <w:style w:type="paragraph" w:styleId="List4">
    <w:name w:val="List 4"/>
    <w:basedOn w:val="BodyText"/>
    <w:rsid w:val="00C57EA1"/>
    <w:pPr>
      <w:tabs>
        <w:tab w:val="left" w:pos="1361"/>
      </w:tabs>
      <w:spacing w:before="60" w:after="60"/>
      <w:ind w:left="1361" w:hanging="340"/>
    </w:pPr>
  </w:style>
  <w:style w:type="paragraph" w:styleId="List5">
    <w:name w:val="List 5"/>
    <w:basedOn w:val="BodyText"/>
    <w:rsid w:val="00C57EA1"/>
    <w:pPr>
      <w:tabs>
        <w:tab w:val="left" w:pos="1701"/>
      </w:tabs>
      <w:spacing w:before="60" w:after="60"/>
      <w:ind w:left="1701" w:hanging="340"/>
    </w:pPr>
  </w:style>
  <w:style w:type="paragraph" w:styleId="ListBullet4">
    <w:name w:val="List Bullet 4"/>
    <w:basedOn w:val="List4"/>
    <w:rsid w:val="00C57EA1"/>
    <w:pPr>
      <w:numPr>
        <w:numId w:val="4"/>
      </w:numPr>
      <w:tabs>
        <w:tab w:val="clear" w:pos="1361"/>
      </w:tabs>
    </w:pPr>
  </w:style>
  <w:style w:type="paragraph" w:styleId="ListBullet5">
    <w:name w:val="List Bullet 5"/>
    <w:basedOn w:val="List5"/>
    <w:rsid w:val="00C57EA1"/>
    <w:pPr>
      <w:numPr>
        <w:numId w:val="5"/>
      </w:numPr>
    </w:pPr>
  </w:style>
  <w:style w:type="paragraph" w:styleId="ListContinue2">
    <w:name w:val="List Continue 2"/>
    <w:basedOn w:val="List2"/>
    <w:rsid w:val="00C57EA1"/>
    <w:pPr>
      <w:ind w:firstLine="0"/>
    </w:pPr>
  </w:style>
  <w:style w:type="paragraph" w:styleId="ListContinue3">
    <w:name w:val="List Continue 3"/>
    <w:basedOn w:val="List3"/>
    <w:rsid w:val="00C57EA1"/>
    <w:pPr>
      <w:ind w:left="1021" w:firstLine="0"/>
    </w:pPr>
  </w:style>
  <w:style w:type="paragraph" w:styleId="ListContinue4">
    <w:name w:val="List Continue 4"/>
    <w:basedOn w:val="List4"/>
    <w:rsid w:val="00C57EA1"/>
    <w:pPr>
      <w:ind w:firstLine="0"/>
    </w:pPr>
  </w:style>
  <w:style w:type="paragraph" w:styleId="ListContinue5">
    <w:name w:val="List Continue 5"/>
    <w:basedOn w:val="List5"/>
    <w:rsid w:val="00C57EA1"/>
    <w:pPr>
      <w:ind w:firstLine="0"/>
    </w:pPr>
  </w:style>
  <w:style w:type="paragraph" w:styleId="ListNumber3">
    <w:name w:val="List Number 3"/>
    <w:basedOn w:val="List3"/>
    <w:rsid w:val="00C57EA1"/>
    <w:pPr>
      <w:numPr>
        <w:numId w:val="6"/>
      </w:numPr>
    </w:pPr>
  </w:style>
  <w:style w:type="paragraph" w:styleId="ListNumber4">
    <w:name w:val="List Number 4"/>
    <w:basedOn w:val="List4"/>
    <w:rsid w:val="00C57EA1"/>
    <w:pPr>
      <w:numPr>
        <w:numId w:val="7"/>
      </w:numPr>
    </w:pPr>
  </w:style>
  <w:style w:type="paragraph" w:styleId="ListNumber5">
    <w:name w:val="List Number 5"/>
    <w:basedOn w:val="List5"/>
    <w:rsid w:val="00C57EA1"/>
    <w:pPr>
      <w:numPr>
        <w:numId w:val="8"/>
      </w:numPr>
    </w:pPr>
  </w:style>
  <w:style w:type="paragraph" w:styleId="BlockText">
    <w:name w:val="Block Text"/>
    <w:basedOn w:val="Normal"/>
    <w:rsid w:val="00C57EA1"/>
    <w:pPr>
      <w:spacing w:after="120"/>
      <w:ind w:left="1440" w:right="1440"/>
    </w:pPr>
  </w:style>
  <w:style w:type="character" w:customStyle="1" w:styleId="Subscript">
    <w:name w:val="Subscript"/>
    <w:basedOn w:val="DefaultParagraphFont"/>
    <w:rsid w:val="00C57EA1"/>
    <w:rPr>
      <w:sz w:val="16"/>
      <w:vertAlign w:val="subscript"/>
    </w:rPr>
  </w:style>
  <w:style w:type="character" w:customStyle="1" w:styleId="Superscript">
    <w:name w:val="Superscript"/>
    <w:basedOn w:val="DefaultParagraphFont"/>
    <w:rsid w:val="00C57EA1"/>
    <w:rPr>
      <w:sz w:val="16"/>
      <w:vertAlign w:val="superscript"/>
    </w:rPr>
  </w:style>
  <w:style w:type="character" w:customStyle="1" w:styleId="Symbols">
    <w:name w:val="Symbols"/>
    <w:basedOn w:val="DefaultParagraphFont"/>
    <w:rsid w:val="00C57EA1"/>
    <w:rPr>
      <w:rFonts w:ascii="Symbol" w:hAnsi="Symbol"/>
    </w:rPr>
  </w:style>
  <w:style w:type="character" w:customStyle="1" w:styleId="MenuOptions">
    <w:name w:val="Menu Options"/>
    <w:basedOn w:val="DefaultParagraphFont"/>
    <w:rsid w:val="00C57EA1"/>
    <w:rPr>
      <w:rFonts w:ascii="Arial Narrow" w:hAnsi="Arial Narrow"/>
      <w:smallCaps/>
    </w:rPr>
  </w:style>
  <w:style w:type="character" w:customStyle="1" w:styleId="Buttons">
    <w:name w:val="Buttons"/>
    <w:basedOn w:val="DefaultParagraphFont"/>
    <w:rsid w:val="00C57EA1"/>
    <w:rPr>
      <w:b/>
    </w:rPr>
  </w:style>
  <w:style w:type="character" w:customStyle="1" w:styleId="Underlined">
    <w:name w:val="Underlined"/>
    <w:basedOn w:val="DefaultParagraphFont"/>
    <w:rsid w:val="00C57EA1"/>
    <w:rPr>
      <w:u w:val="single"/>
    </w:rPr>
  </w:style>
  <w:style w:type="paragraph" w:customStyle="1" w:styleId="TableBodyTextRight">
    <w:name w:val="Table Body Text Right"/>
    <w:basedOn w:val="TableBodyText"/>
    <w:rsid w:val="00C57EA1"/>
    <w:pPr>
      <w:widowControl w:val="0"/>
      <w:autoSpaceDE w:val="0"/>
      <w:autoSpaceDN w:val="0"/>
      <w:adjustRightInd w:val="0"/>
      <w:jc w:val="right"/>
    </w:pPr>
    <w:rPr>
      <w:rFonts w:cs="Arial"/>
      <w:szCs w:val="18"/>
    </w:rPr>
  </w:style>
  <w:style w:type="paragraph" w:customStyle="1" w:styleId="CopyrightText">
    <w:name w:val="Copyright Text"/>
    <w:basedOn w:val="BodyText"/>
    <w:rsid w:val="00C57EA1"/>
    <w:rPr>
      <w:sz w:val="18"/>
    </w:rPr>
  </w:style>
  <w:style w:type="paragraph" w:customStyle="1" w:styleId="BodySmallRight">
    <w:name w:val="Body Small Right"/>
    <w:basedOn w:val="BodyTextRight"/>
    <w:rsid w:val="00C57EA1"/>
    <w:rPr>
      <w:sz w:val="18"/>
      <w:szCs w:val="18"/>
    </w:rPr>
  </w:style>
  <w:style w:type="paragraph" w:customStyle="1" w:styleId="MarginEdition">
    <w:name w:val="Margin Edition"/>
    <w:basedOn w:val="MarginNote"/>
    <w:rsid w:val="00C57EA1"/>
    <w:pPr>
      <w:spacing w:before="0" w:after="0"/>
    </w:pPr>
    <w:rPr>
      <w:rFonts w:ascii="Times New Roman" w:hAnsi="Times New Roman"/>
      <w:color w:val="999999"/>
    </w:rPr>
  </w:style>
  <w:style w:type="paragraph" w:customStyle="1" w:styleId="Spacer">
    <w:name w:val="Spacer"/>
    <w:basedOn w:val="Normal"/>
    <w:rsid w:val="00C57EA1"/>
    <w:rPr>
      <w:sz w:val="2"/>
      <w:szCs w:val="2"/>
    </w:rPr>
  </w:style>
  <w:style w:type="character" w:customStyle="1" w:styleId="Small">
    <w:name w:val="Small"/>
    <w:basedOn w:val="DefaultParagraphFont"/>
    <w:rsid w:val="00C57EA1"/>
    <w:rPr>
      <w:sz w:val="16"/>
    </w:rPr>
  </w:style>
  <w:style w:type="paragraph" w:customStyle="1" w:styleId="WideTable">
    <w:name w:val="Wide Table"/>
    <w:basedOn w:val="Normal"/>
    <w:rsid w:val="00C57EA1"/>
    <w:pPr>
      <w:ind w:left="-1418"/>
    </w:pPr>
    <w:rPr>
      <w:sz w:val="2"/>
      <w:szCs w:val="2"/>
    </w:rPr>
  </w:style>
  <w:style w:type="character" w:styleId="PageNumber">
    <w:name w:val="page number"/>
    <w:basedOn w:val="DefaultParagraphFont"/>
    <w:rsid w:val="00C57EA1"/>
  </w:style>
  <w:style w:type="paragraph" w:styleId="Quote">
    <w:name w:val="Quote"/>
    <w:basedOn w:val="Heading1"/>
    <w:link w:val="QuoteChar"/>
    <w:qFormat/>
    <w:rsid w:val="00C57EA1"/>
    <w:rPr>
      <w:b w:val="0"/>
      <w:sz w:val="72"/>
      <w:szCs w:val="72"/>
      <w:lang w:val="en-NZ"/>
    </w:rPr>
  </w:style>
  <w:style w:type="character" w:customStyle="1" w:styleId="QuoteChar">
    <w:name w:val="Quote Char"/>
    <w:basedOn w:val="DefaultParagraphFont"/>
    <w:link w:val="Quote"/>
    <w:rsid w:val="00C57E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7EA1"/>
    <w:pPr>
      <w:pageBreakBefore/>
    </w:pPr>
  </w:style>
  <w:style w:type="paragraph" w:customStyle="1" w:styleId="Border">
    <w:name w:val="Border"/>
    <w:basedOn w:val="Normal"/>
    <w:qFormat/>
    <w:rsid w:val="00C57E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7EA1"/>
    <w:rPr>
      <w:b/>
      <w:bCs/>
      <w:i/>
      <w:iCs/>
      <w:color w:val="auto"/>
    </w:rPr>
  </w:style>
  <w:style w:type="paragraph" w:styleId="IntenseQuote">
    <w:name w:val="Intense Quote"/>
    <w:basedOn w:val="Normal"/>
    <w:next w:val="Normal"/>
    <w:link w:val="IntenseQuoteChar"/>
    <w:uiPriority w:val="30"/>
    <w:qFormat/>
    <w:rsid w:val="00C57E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7E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7EA1"/>
    <w:rPr>
      <w:smallCaps/>
      <w:color w:val="auto"/>
      <w:u w:val="single"/>
    </w:rPr>
  </w:style>
  <w:style w:type="character" w:styleId="IntenseReference">
    <w:name w:val="Intense Reference"/>
    <w:basedOn w:val="DefaultParagraphFont"/>
    <w:uiPriority w:val="32"/>
    <w:qFormat/>
    <w:rsid w:val="00C57EA1"/>
    <w:rPr>
      <w:b/>
      <w:bCs/>
      <w:smallCaps/>
      <w:color w:val="auto"/>
      <w:spacing w:val="5"/>
      <w:u w:val="single"/>
    </w:rPr>
  </w:style>
  <w:style w:type="paragraph" w:customStyle="1" w:styleId="2ColumnHeading">
    <w:name w:val="2Column Heading"/>
    <w:basedOn w:val="BodyText"/>
    <w:qFormat/>
    <w:rsid w:val="00C57EA1"/>
    <w:pPr>
      <w:spacing w:after="60"/>
      <w:ind w:left="-2268"/>
    </w:pPr>
    <w:rPr>
      <w:b/>
    </w:rPr>
  </w:style>
  <w:style w:type="paragraph" w:customStyle="1" w:styleId="Heading1TOC">
    <w:name w:val="Heading1 TOC"/>
    <w:basedOn w:val="Normal"/>
    <w:qFormat/>
    <w:rsid w:val="00C57EA1"/>
    <w:pPr>
      <w:spacing w:before="240" w:after="120"/>
    </w:pPr>
    <w:rPr>
      <w:rFonts w:ascii="Times New Roman" w:hAnsi="Times New Roman"/>
      <w:b/>
      <w:sz w:val="32"/>
    </w:rPr>
  </w:style>
  <w:style w:type="paragraph" w:customStyle="1" w:styleId="Heading2TOC">
    <w:name w:val="Heading2 TOC"/>
    <w:basedOn w:val="Normal"/>
    <w:qFormat/>
    <w:rsid w:val="00C57EA1"/>
    <w:pPr>
      <w:spacing w:before="240" w:after="60"/>
    </w:pPr>
    <w:rPr>
      <w:rFonts w:ascii="Times New Roman" w:hAnsi="Times New Roman"/>
      <w:b/>
      <w:sz w:val="28"/>
    </w:rPr>
  </w:style>
  <w:style w:type="character" w:customStyle="1" w:styleId="Underline">
    <w:name w:val="Underline"/>
    <w:basedOn w:val="DefaultParagraphFont"/>
    <w:qFormat/>
    <w:rsid w:val="00C57EA1"/>
    <w:rPr>
      <w:u w:val="single"/>
    </w:rPr>
  </w:style>
  <w:style w:type="paragraph" w:styleId="BalloonText">
    <w:name w:val="Balloon Text"/>
    <w:basedOn w:val="Normal"/>
    <w:link w:val="BalloonTextChar"/>
    <w:rsid w:val="00C57EA1"/>
    <w:rPr>
      <w:rFonts w:ascii="Tahoma" w:hAnsi="Tahoma" w:cs="Tahoma"/>
      <w:sz w:val="16"/>
      <w:szCs w:val="16"/>
    </w:rPr>
  </w:style>
  <w:style w:type="character" w:customStyle="1" w:styleId="BalloonTextChar">
    <w:name w:val="Balloon Text Char"/>
    <w:basedOn w:val="DefaultParagraphFont"/>
    <w:link w:val="BalloonText"/>
    <w:rsid w:val="00C57E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7E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7E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7EA1"/>
    <w:rPr>
      <w:b/>
      <w:color w:val="660033"/>
      <w:spacing w:val="0"/>
    </w:rPr>
  </w:style>
  <w:style w:type="paragraph" w:customStyle="1" w:styleId="Nameditemlist">
    <w:name w:val="Named item list"/>
    <w:basedOn w:val="BodyText"/>
    <w:qFormat/>
    <w:rsid w:val="00C57EA1"/>
    <w:pPr>
      <w:tabs>
        <w:tab w:val="left" w:pos="2835"/>
      </w:tabs>
      <w:ind w:left="2835" w:hanging="2835"/>
    </w:pPr>
  </w:style>
  <w:style w:type="paragraph" w:customStyle="1" w:styleId="BodyTextnopadding">
    <w:name w:val="Body Text no padding"/>
    <w:basedOn w:val="BodyText"/>
    <w:qFormat/>
    <w:rsid w:val="00C57EA1"/>
    <w:pPr>
      <w:spacing w:before="0" w:after="0"/>
    </w:pPr>
  </w:style>
  <w:style w:type="paragraph" w:customStyle="1" w:styleId="BodyTextBold">
    <w:name w:val="Body Text Bold"/>
    <w:basedOn w:val="BodyText"/>
    <w:qFormat/>
    <w:rsid w:val="00C57EA1"/>
    <w:rPr>
      <w:b/>
    </w:rPr>
  </w:style>
  <w:style w:type="character" w:styleId="Hyperlink">
    <w:name w:val="Hyperlink"/>
    <w:basedOn w:val="DefaultParagraphFont"/>
    <w:uiPriority w:val="99"/>
    <w:unhideWhenUsed/>
    <w:rsid w:val="006218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1955</Words>
  <Characters>12106</Characters>
  <Application>Microsoft Office Word</Application>
  <DocSecurity>0</DocSecurity>
  <Lines>465</Lines>
  <Paragraphs>281</Paragraphs>
  <ScaleCrop>false</ScaleCrop>
  <Company>Author-it Software Corporation Ltd.</Company>
  <LinksUpToDate>false</LinksUpToDate>
  <CharactersWithSpaces>13780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CPCCCM3001 Operate elevated work platforms up to 11 metres</dc:title>
  <dc:subject>Approved</dc:subject>
  <dc:creator>BuildSkills Australia</dc:creator>
  <cp:keywords>Release: 2</cp:keywords>
  <dc:description>Review Date: 12 April 2008</dc:description>
  <cp:lastModifiedBy>HSD_TPCMSd.prod</cp:lastModifiedBy>
  <cp:revision>3</cp:revision>
  <dcterms:created xsi:type="dcterms:W3CDTF">2025-03-01T20:37:00Z</dcterms:created>
  <dcterms:modified xsi:type="dcterms:W3CDTF">2025-03-01T20:37:00Z</dcterms:modified>
</cp:coreProperties>
</file>