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57C" w:rsidP="001E0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CPCCCM2012 Work safely at heights</w:t>
      </w:r>
      <w:r>
        <w:fldChar w:fldCharType="end"/>
      </w:r>
    </w:p>
    <w:p w:rsidR="001E057C" w:rsidP="001E057C">
      <w:pPr>
        <w:pStyle w:val="Version"/>
        <w:sectPr w:rsidSect="002B0D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0D77" w:rsidP="002B0D77">
      <w:pPr>
        <w:pStyle w:val="SuperHeading"/>
      </w:pPr>
      <w:r w:rsidRPr="002B0D77">
        <w:t>CPCCCM2012 Work safely at heights</w:t>
      </w:r>
    </w:p>
    <w:p w:rsidR="00000000" w:rsidRPr="002B0D77" w:rsidP="002B0D77">
      <w:pPr>
        <w:pStyle w:val="Heading1"/>
      </w:pPr>
      <w:bookmarkStart w:id="1" w:name="O_1295218"/>
      <w:bookmarkEnd w:id="1"/>
      <w:r w:rsidRPr="002B0D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Updated reference to general construction induction training program.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D77" w:rsidP="002B0D77">
            <w:pPr>
              <w:pStyle w:val="BodyText"/>
            </w:pPr>
            <w:r w:rsidRPr="002B0D77">
              <w:t>This version first released with CPC Construction, Plumbing and Services Training Package Release 5.0.</w:t>
            </w:r>
          </w:p>
          <w:p w:rsidR="00000000" w:rsidRPr="002B0D77" w:rsidP="002B0D77">
            <w:pPr>
              <w:pStyle w:val="BodyText"/>
            </w:pPr>
            <w:r w:rsidRPr="002B0D77">
              <w:t>Supersedes and is equivalent to CPCCCM201</w:t>
            </w:r>
            <w:r w:rsidRPr="002B0D77">
              <w:t>0B Work safely at heights.  Updated to meet the Standards for Training Packages 2012.</w:t>
            </w:r>
          </w:p>
        </w:tc>
      </w:tr>
    </w:tbl>
    <w:p w:rsidR="00000000" w:rsidRPr="002B0D77" w:rsidP="002B0D77">
      <w:pPr>
        <w:pStyle w:val="BodyText"/>
      </w:pPr>
    </w:p>
    <w:p w:rsidR="00000000" w:rsidRPr="002B0D77" w:rsidP="002B0D77">
      <w:pPr>
        <w:pStyle w:val="AllowPageBreak"/>
      </w:pPr>
    </w:p>
    <w:p w:rsidR="00000000" w:rsidRPr="002B0D77" w:rsidP="002B0D77">
      <w:pPr>
        <w:pStyle w:val="Heading1"/>
      </w:pPr>
      <w:bookmarkStart w:id="2" w:name="O_1295217"/>
      <w:bookmarkEnd w:id="2"/>
      <w:r w:rsidRPr="002B0D77">
        <w:t>Application</w:t>
      </w:r>
    </w:p>
    <w:p w:rsidR="00000000" w:rsidRPr="002B0D77" w:rsidP="001E057C">
      <w:pPr>
        <w:pStyle w:val="BodyText"/>
      </w:pPr>
      <w:r w:rsidRPr="002B0D77">
        <w:t>This unit specifies the skills and knowledge required to work safely on construction sites where the worker has the potential to fall fro</w:t>
      </w:r>
      <w:r w:rsidRPr="002B0D77">
        <w:t xml:space="preserve">m one level to another. </w:t>
      </w:r>
    </w:p>
    <w:p w:rsidR="00000000" w:rsidRPr="002B0D77" w:rsidP="001E057C">
      <w:pPr>
        <w:pStyle w:val="BodyText"/>
      </w:pPr>
      <w:r w:rsidRPr="002B0D77">
        <w:t>This unit of competency does not cover the erection of scaffold or work platforms, but it does include identifying and reporting common faults with scaffold or work platform systems.</w:t>
      </w:r>
    </w:p>
    <w:p w:rsidR="00000000" w:rsidRPr="002B0D77" w:rsidP="001E057C">
      <w:pPr>
        <w:pStyle w:val="BodyText"/>
      </w:pPr>
      <w:r w:rsidRPr="002B0D77">
        <w:t>Work at heights is undertaken in a range of cons</w:t>
      </w:r>
      <w:r w:rsidRPr="002B0D77">
        <w:t xml:space="preserve">truction work, including new construction, renovation, refurbishment and maintenance. </w:t>
      </w:r>
    </w:p>
    <w:p w:rsidR="00000000" w:rsidRPr="002B0D77" w:rsidP="001E057C">
      <w:pPr>
        <w:pStyle w:val="BodyText"/>
      </w:pPr>
      <w:r w:rsidRPr="002B0D77">
        <w:t>This unit also applies to workers in other industries who need to control the two separate risks associated with people and objects falling from heights.</w:t>
      </w:r>
    </w:p>
    <w:p w:rsidR="00000000" w:rsidRPr="002B0D77" w:rsidP="001E057C">
      <w:pPr>
        <w:pStyle w:val="BodyText"/>
      </w:pPr>
      <w:r w:rsidRPr="002B0D77">
        <w:t>Completion of t</w:t>
      </w:r>
      <w:r w:rsidRPr="002B0D77">
        <w:t xml:space="preserve">he general construction induction training program, specified in the Safe Work Australia model </w:t>
      </w:r>
      <w:r w:rsidRPr="002B0D77">
        <w:rPr>
          <w:rStyle w:val="Emphasis"/>
        </w:rPr>
        <w:t>Code of Practice: Construction Work</w:t>
      </w:r>
      <w:r w:rsidRPr="002B0D77">
        <w:t xml:space="preserve">, is required by anyone carrying out construction work. Achievement of </w:t>
      </w:r>
      <w:r w:rsidRPr="002B0D77">
        <w:rPr>
          <w:rStyle w:val="Emphasis"/>
        </w:rPr>
        <w:t>CPCWHS1001</w:t>
      </w:r>
      <w:r w:rsidRPr="002B0D77">
        <w:t xml:space="preserve"> </w:t>
      </w:r>
      <w:r w:rsidRPr="002B0D77">
        <w:rPr>
          <w:rStyle w:val="Emphasis"/>
        </w:rPr>
        <w:t>Prepare to work safely in the construction i</w:t>
      </w:r>
      <w:r w:rsidRPr="002B0D77">
        <w:rPr>
          <w:rStyle w:val="Emphasis"/>
        </w:rPr>
        <w:t xml:space="preserve">ndustry </w:t>
      </w:r>
      <w:r w:rsidRPr="002B0D77">
        <w:t>meets this requirement.</w:t>
      </w:r>
    </w:p>
    <w:p w:rsidR="00000000" w:rsidRPr="002B0D77" w:rsidP="001E057C">
      <w:pPr>
        <w:pStyle w:val="BodyText"/>
      </w:pPr>
      <w:r w:rsidRPr="002B0D77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2B0D77" w:rsidP="002B0D77">
      <w:pPr>
        <w:pStyle w:val="Heading1"/>
      </w:pPr>
      <w:bookmarkStart w:id="3" w:name="O_1295216"/>
      <w:bookmarkEnd w:id="3"/>
      <w:r w:rsidRPr="002B0D77">
        <w:t>Pre-</w:t>
      </w:r>
      <w:r w:rsidRPr="002B0D77">
        <w:t>requisite Unit</w:t>
      </w:r>
    </w:p>
    <w:p w:rsidR="00000000" w:rsidRPr="002B0D77" w:rsidP="001E057C">
      <w:pPr>
        <w:pStyle w:val="BodyText"/>
      </w:pPr>
      <w:r w:rsidRPr="002B0D77">
        <w:t>CPCCWHS2001 Apply WHS requirements, policies and procedures in the construction industry</w:t>
      </w:r>
    </w:p>
    <w:p w:rsidR="00000000" w:rsidRPr="002B0D77" w:rsidP="002B0D77">
      <w:pPr>
        <w:pStyle w:val="Heading1"/>
      </w:pPr>
      <w:bookmarkStart w:id="4" w:name="O_1295215"/>
      <w:bookmarkEnd w:id="4"/>
      <w:r w:rsidRPr="002B0D77">
        <w:t>Unit Sector</w:t>
      </w:r>
    </w:p>
    <w:p w:rsidR="00000000" w:rsidRPr="002B0D77" w:rsidP="001E057C">
      <w:pPr>
        <w:pStyle w:val="BodyText"/>
      </w:pPr>
      <w:r w:rsidRPr="002B0D77">
        <w:t>Construction</w:t>
      </w:r>
    </w:p>
    <w:p w:rsidR="00000000" w:rsidRPr="002B0D77" w:rsidP="002B0D77">
      <w:pPr>
        <w:pStyle w:val="Heading1"/>
      </w:pPr>
      <w:bookmarkStart w:id="5" w:name="O_1295214"/>
      <w:bookmarkEnd w:id="5"/>
      <w:r w:rsidRPr="002B0D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Performance criteria describe what needs to be done to demonstrate achievement of the element.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Identify task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Read work order and associated drawings and consult with relevant persons to determine the proposed work-at-heights task, inc</w:t>
            </w:r>
            <w:r w:rsidRPr="002B0D77">
              <w:t>luding where and how work is to be carried out, and the equipment or plant to be used.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Participate in the development of the safe work method statement (SWMS) for the specified task.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Select appropriate work-at-heights control measures including required fall restraint devices and/or fall arrest devices in accordance with workplace and regulatory requirements.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Determine location of anchor points for harness-based work to safely a</w:t>
            </w:r>
            <w:r w:rsidRPr="002B0D77">
              <w:t>ccess required work area.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Review completed SWMS and clarify issues with relevant persons.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Access and assess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Select personal protective equipment (PPE), check for serviceability and report problems.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Identify unstable, fragile or brittle work surfaces and implement control measures to prevent a fall from height.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Check fall protection equipment, including required fall restraint and fall arrest devices to ensure serviceability and report problems</w:t>
            </w:r>
            <w:r w:rsidRPr="002B0D77">
              <w:t>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Identify, select and install signage and barricade equipment in accordance with SWMS or relevant safe work procedure.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Install/fit fall protection equipment, including fall restraint devices and fall arrest devices as appropriate, within the limitations of licensing requirements, level of authority and SWMS.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Ensure required fall protection, scaffold and barriers hav</w:t>
            </w:r>
            <w:r w:rsidRPr="002B0D77">
              <w:t xml:space="preserve">e been adequately installed and where necessary certified, in accordance with regulatory and workplace </w:t>
            </w:r>
            <w:r w:rsidRPr="002B0D77">
              <w:t>requirements.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Connect to fall protection equipment, including temporary anchor points, without being exposed to a risk of a fall from height.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2</w:t>
            </w:r>
            <w:r w:rsidRPr="002B0D77">
              <w:t>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Consult with relevant persons to confirm fall protection equipment and safety systems are correctly fitted, adjusted and installed, and are appropriate to the task.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Access work area safely and move and place tools, equipment and materials usin</w:t>
            </w:r>
            <w:r w:rsidRPr="002B0D77">
              <w:t>g methods that eliminate or minimise the risk of falling objects.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Conduct work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Undertake work tasks in compliance with the SWMS and workplace requirements.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Traverse between anchor points while remaining connected to the fall prevention system and protected from a risk of a fall from height.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Use PPE appropriate to the task and in accordance with manufacturer requirements.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Maintain communication w</w:t>
            </w:r>
            <w:r w:rsidRPr="002B0D77">
              <w:t>ith relevant persons while working at height.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Keep fall protection equipment in place and adjust to allow for movement during work.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Keep fall prevention equipment adjusted to prevent falling off or through a structure using the restraint technique.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Keep scaffold/work platform components and fall barriers in place during work.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Monitor control measures and consult with rele</w:t>
            </w:r>
            <w:r w:rsidRPr="002B0D77">
              <w:t>vant persons to respond to changing work practices or site conditions.</w:t>
            </w:r>
          </w:p>
        </w:tc>
      </w:tr>
      <w:tr w:rsidTr="002B0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D77">
            <w:pPr>
              <w:pStyle w:val="BodyText"/>
              <w:rPr>
                <w:lang w:val="en-NZ"/>
              </w:rPr>
            </w:pPr>
            <w:r w:rsidRPr="002B0D77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D77" w:rsidP="002B0D77">
            <w:pPr>
              <w:pStyle w:val="BodyText"/>
            </w:pPr>
            <w:r w:rsidRPr="002B0D77">
              <w:t>Exit from work area removing tools and materials in compliance with worksite procedures, safety and environmental requirements.</w:t>
            </w:r>
          </w:p>
        </w:tc>
      </w:tr>
    </w:tbl>
    <w:p w:rsidR="00000000" w:rsidRPr="002B0D77" w:rsidP="002B0D77">
      <w:pPr>
        <w:pStyle w:val="BodyText"/>
      </w:pPr>
    </w:p>
    <w:p w:rsidR="00000000" w:rsidRPr="002B0D77" w:rsidP="002B0D77">
      <w:pPr>
        <w:pStyle w:val="AllowPageBreak"/>
      </w:pPr>
    </w:p>
    <w:p w:rsidR="00000000" w:rsidRPr="002B0D77" w:rsidP="002B0D77">
      <w:pPr>
        <w:pStyle w:val="Heading1"/>
      </w:pPr>
      <w:bookmarkStart w:id="6" w:name="O_1295213"/>
      <w:bookmarkEnd w:id="6"/>
      <w:r w:rsidRPr="002B0D77">
        <w:t>Foundation Skills</w:t>
      </w:r>
    </w:p>
    <w:p w:rsidR="00000000" w:rsidRPr="002B0D77" w:rsidP="001E057C">
      <w:pPr>
        <w:pStyle w:val="BodyText"/>
      </w:pPr>
      <w:r w:rsidRPr="002B0D77">
        <w:t xml:space="preserve">Foundation skills essential to performance are explicit in the performance criteria of this unit of competency. </w:t>
      </w:r>
    </w:p>
    <w:p w:rsidR="00000000" w:rsidRPr="002B0D77" w:rsidP="002B0D77">
      <w:pPr>
        <w:pStyle w:val="Heading1"/>
      </w:pPr>
      <w:bookmarkStart w:id="7" w:name="O_1295212"/>
      <w:bookmarkEnd w:id="7"/>
      <w:r w:rsidRPr="002B0D77">
        <w:t>Unit Mapping Information</w:t>
      </w:r>
    </w:p>
    <w:p w:rsidR="00000000" w:rsidRPr="002B0D77" w:rsidP="001E057C">
      <w:pPr>
        <w:pStyle w:val="BodyText"/>
      </w:pPr>
      <w:r w:rsidRPr="002B0D77">
        <w:t>Supersedes and is equivalent to CPCCCM2010B Work safely at heights.</w:t>
      </w:r>
    </w:p>
    <w:p w:rsidR="00000000" w:rsidRPr="002B0D77" w:rsidP="002B0D77">
      <w:pPr>
        <w:pStyle w:val="Heading1"/>
      </w:pPr>
      <w:bookmarkStart w:id="8" w:name="O_1295219"/>
      <w:bookmarkEnd w:id="8"/>
      <w:r w:rsidRPr="002B0D77">
        <w:t>Links</w:t>
      </w:r>
    </w:p>
    <w:p w:rsidR="00000000" w:rsidRPr="002B0D77" w:rsidP="001E057C">
      <w:pPr>
        <w:pStyle w:val="BodyText"/>
      </w:pPr>
      <w:r w:rsidRPr="002B0D77">
        <w:t>Compan</w:t>
      </w:r>
      <w:r w:rsidRPr="002B0D77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0663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B0D77" w:rsidP="002B0D77"/>
    <w:sectPr w:rsidSect="002B0D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D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D77" w:rsidRPr="001E057C" w:rsidP="001E0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D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7C" w:rsidP="002B0D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57C" w:rsidP="002B0D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E057C" w:rsidP="002B0D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D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D77" w:rsidRPr="001E057C" w:rsidP="001E0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D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7C" w:rsidRPr="002D2AF8" w:rsidP="002B0D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CPCCCM2012 Work safely at heights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E057C" w:rsidP="002B0D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D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D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D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D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D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D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D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D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D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D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D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D77"/>
  </w:style>
  <w:style w:type="character" w:customStyle="1" w:styleId="Heading1Char">
    <w:name w:val="Heading 1 Char"/>
    <w:basedOn w:val="DefaultParagraphFont"/>
    <w:link w:val="Heading1"/>
    <w:rsid w:val="002B0D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D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D7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B0D77"/>
    <w:rPr>
      <w:i/>
    </w:rPr>
  </w:style>
  <w:style w:type="paragraph" w:customStyle="1" w:styleId="SuperHeading">
    <w:name w:val="SuperHeading"/>
    <w:basedOn w:val="Normal"/>
    <w:rsid w:val="002B0D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D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D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D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D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D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D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D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D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D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D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D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D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D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D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D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D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0D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0D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D77"/>
    <w:rPr>
      <w:b/>
      <w:spacing w:val="0"/>
    </w:rPr>
  </w:style>
  <w:style w:type="paragraph" w:customStyle="1" w:styleId="SuperTitle">
    <w:name w:val="SuperTitle"/>
    <w:basedOn w:val="Title"/>
    <w:rsid w:val="002B0D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D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D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D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D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D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D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D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D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D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D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D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D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0D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D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D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D77"/>
  </w:style>
  <w:style w:type="paragraph" w:styleId="TableofFigures">
    <w:name w:val="table of figures"/>
    <w:basedOn w:val="Normal"/>
    <w:next w:val="Normal"/>
    <w:semiHidden/>
    <w:rsid w:val="002B0D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D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0D77"/>
    <w:rPr>
      <w:rFonts w:ascii="Wingdings" w:hAnsi="Wingdings"/>
    </w:rPr>
  </w:style>
  <w:style w:type="paragraph" w:customStyle="1" w:styleId="TableHeading">
    <w:name w:val="Table Heading"/>
    <w:basedOn w:val="HeadingBase"/>
    <w:rsid w:val="002B0D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D77"/>
    <w:rPr>
      <w:color w:val="0033CC"/>
      <w:u w:val="none"/>
    </w:rPr>
  </w:style>
  <w:style w:type="paragraph" w:customStyle="1" w:styleId="BodyTextRight">
    <w:name w:val="Body Text Right"/>
    <w:basedOn w:val="BodyText"/>
    <w:rsid w:val="002B0D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D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D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D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D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D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D77"/>
    <w:rPr>
      <w:sz w:val="32"/>
    </w:rPr>
  </w:style>
  <w:style w:type="paragraph" w:customStyle="1" w:styleId="HeadingProcedure">
    <w:name w:val="Heading Procedure"/>
    <w:basedOn w:val="HeadingBase"/>
    <w:next w:val="Normal"/>
    <w:rsid w:val="002B0D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D77"/>
    <w:pPr>
      <w:spacing w:before="60" w:after="60"/>
    </w:pPr>
  </w:style>
  <w:style w:type="paragraph" w:styleId="ListContinue">
    <w:name w:val="List Continue"/>
    <w:basedOn w:val="List"/>
    <w:rsid w:val="002B0D77"/>
    <w:pPr>
      <w:ind w:firstLine="0"/>
    </w:pPr>
  </w:style>
  <w:style w:type="paragraph" w:customStyle="1" w:styleId="ListNote">
    <w:name w:val="List Note"/>
    <w:basedOn w:val="List"/>
    <w:rsid w:val="002B0D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D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D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D77"/>
    <w:rPr>
      <w:rFonts w:ascii="Courier New" w:hAnsi="Courier New"/>
    </w:rPr>
  </w:style>
  <w:style w:type="paragraph" w:customStyle="1" w:styleId="NoteBullet">
    <w:name w:val="Note Bullet"/>
    <w:basedOn w:val="Note"/>
    <w:rsid w:val="002B0D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D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D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D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D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0D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D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D77"/>
    <w:rPr>
      <w:b/>
      <w:smallCaps/>
    </w:rPr>
  </w:style>
  <w:style w:type="paragraph" w:customStyle="1" w:styleId="TableListNumber">
    <w:name w:val="Table List Number"/>
    <w:basedOn w:val="ListNumber"/>
    <w:rsid w:val="002B0D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D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D77"/>
    <w:pPr>
      <w:numPr>
        <w:numId w:val="7"/>
      </w:numPr>
    </w:pPr>
  </w:style>
  <w:style w:type="paragraph" w:customStyle="1" w:styleId="ListAlpha2">
    <w:name w:val="List Alpha 2"/>
    <w:basedOn w:val="List2"/>
    <w:rsid w:val="002B0D77"/>
    <w:pPr>
      <w:numPr>
        <w:numId w:val="6"/>
      </w:numPr>
    </w:pPr>
  </w:style>
  <w:style w:type="paragraph" w:styleId="List2">
    <w:name w:val="List 2"/>
    <w:basedOn w:val="BodyText"/>
    <w:rsid w:val="002B0D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D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D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D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D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D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0D77"/>
    <w:pPr>
      <w:numPr>
        <w:numId w:val="2"/>
      </w:numPr>
    </w:pPr>
  </w:style>
  <w:style w:type="paragraph" w:styleId="ListContinue2">
    <w:name w:val="List Continue 2"/>
    <w:basedOn w:val="List2"/>
    <w:rsid w:val="002B0D77"/>
    <w:pPr>
      <w:ind w:firstLine="0"/>
    </w:pPr>
  </w:style>
  <w:style w:type="paragraph" w:styleId="ListContinue3">
    <w:name w:val="List Continue 3"/>
    <w:basedOn w:val="List3"/>
    <w:rsid w:val="002B0D77"/>
    <w:pPr>
      <w:ind w:left="1021" w:firstLine="0"/>
    </w:pPr>
  </w:style>
  <w:style w:type="paragraph" w:styleId="ListContinue4">
    <w:name w:val="List Continue 4"/>
    <w:basedOn w:val="List4"/>
    <w:rsid w:val="002B0D77"/>
    <w:pPr>
      <w:ind w:firstLine="0"/>
    </w:pPr>
  </w:style>
  <w:style w:type="paragraph" w:styleId="ListContinue5">
    <w:name w:val="List Continue 5"/>
    <w:basedOn w:val="List5"/>
    <w:rsid w:val="002B0D77"/>
    <w:pPr>
      <w:ind w:firstLine="0"/>
    </w:pPr>
  </w:style>
  <w:style w:type="paragraph" w:styleId="ListNumber3">
    <w:name w:val="List Number 3"/>
    <w:basedOn w:val="List3"/>
    <w:rsid w:val="002B0D77"/>
    <w:pPr>
      <w:numPr>
        <w:numId w:val="3"/>
      </w:numPr>
    </w:pPr>
  </w:style>
  <w:style w:type="paragraph" w:styleId="ListNumber4">
    <w:name w:val="List Number 4"/>
    <w:basedOn w:val="List4"/>
    <w:rsid w:val="002B0D77"/>
    <w:pPr>
      <w:numPr>
        <w:numId w:val="4"/>
      </w:numPr>
    </w:pPr>
  </w:style>
  <w:style w:type="paragraph" w:styleId="ListNumber5">
    <w:name w:val="List Number 5"/>
    <w:basedOn w:val="List5"/>
    <w:rsid w:val="002B0D77"/>
    <w:pPr>
      <w:numPr>
        <w:numId w:val="5"/>
      </w:numPr>
    </w:pPr>
  </w:style>
  <w:style w:type="paragraph" w:styleId="BlockText">
    <w:name w:val="Block Text"/>
    <w:basedOn w:val="Normal"/>
    <w:rsid w:val="002B0D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D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D77"/>
    <w:rPr>
      <w:sz w:val="16"/>
      <w:vertAlign w:val="superscript"/>
    </w:rPr>
  </w:style>
  <w:style w:type="character" w:customStyle="1" w:styleId="Symbols">
    <w:name w:val="Symbols"/>
    <w:basedOn w:val="DefaultParagraphFont"/>
    <w:rsid w:val="002B0D77"/>
    <w:rPr>
      <w:rFonts w:ascii="Symbol" w:hAnsi="Symbol"/>
    </w:rPr>
  </w:style>
  <w:style w:type="character" w:customStyle="1" w:styleId="MenuOptions">
    <w:name w:val="Menu Options"/>
    <w:basedOn w:val="DefaultParagraphFont"/>
    <w:rsid w:val="002B0D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D77"/>
    <w:rPr>
      <w:b/>
    </w:rPr>
  </w:style>
  <w:style w:type="character" w:customStyle="1" w:styleId="Underlined">
    <w:name w:val="Underlined"/>
    <w:basedOn w:val="DefaultParagraphFont"/>
    <w:rsid w:val="002B0D77"/>
    <w:rPr>
      <w:u w:val="single"/>
    </w:rPr>
  </w:style>
  <w:style w:type="paragraph" w:customStyle="1" w:styleId="TableBodyTextRight">
    <w:name w:val="Table Body Text Right"/>
    <w:basedOn w:val="TableBodyText"/>
    <w:rsid w:val="002B0D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D77"/>
    <w:rPr>
      <w:sz w:val="18"/>
    </w:rPr>
  </w:style>
  <w:style w:type="paragraph" w:customStyle="1" w:styleId="BodySmallRight">
    <w:name w:val="Body Small Right"/>
    <w:basedOn w:val="BodyTextRight"/>
    <w:rsid w:val="002B0D77"/>
    <w:rPr>
      <w:sz w:val="18"/>
      <w:szCs w:val="18"/>
    </w:rPr>
  </w:style>
  <w:style w:type="paragraph" w:customStyle="1" w:styleId="MarginEdition">
    <w:name w:val="Margin Edition"/>
    <w:basedOn w:val="MarginNote"/>
    <w:rsid w:val="002B0D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D77"/>
    <w:rPr>
      <w:sz w:val="2"/>
      <w:szCs w:val="2"/>
    </w:rPr>
  </w:style>
  <w:style w:type="character" w:customStyle="1" w:styleId="Small">
    <w:name w:val="Small"/>
    <w:basedOn w:val="DefaultParagraphFont"/>
    <w:rsid w:val="002B0D77"/>
    <w:rPr>
      <w:sz w:val="16"/>
    </w:rPr>
  </w:style>
  <w:style w:type="paragraph" w:customStyle="1" w:styleId="WideTable">
    <w:name w:val="Wide Table"/>
    <w:basedOn w:val="Normal"/>
    <w:rsid w:val="002B0D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D77"/>
  </w:style>
  <w:style w:type="paragraph" w:styleId="Quote">
    <w:name w:val="Quote"/>
    <w:basedOn w:val="Heading1"/>
    <w:link w:val="QuoteChar"/>
    <w:qFormat/>
    <w:rsid w:val="002B0D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D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D77"/>
    <w:pPr>
      <w:pageBreakBefore/>
    </w:pPr>
  </w:style>
  <w:style w:type="paragraph" w:customStyle="1" w:styleId="Border">
    <w:name w:val="Border"/>
    <w:basedOn w:val="Normal"/>
    <w:qFormat/>
    <w:rsid w:val="002B0D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D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D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D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D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D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D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D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D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D77"/>
    <w:rPr>
      <w:u w:val="single"/>
    </w:rPr>
  </w:style>
  <w:style w:type="character" w:customStyle="1" w:styleId="BoldandItalics">
    <w:name w:val="Bold and Italics"/>
    <w:qFormat/>
    <w:rsid w:val="002B0D77"/>
    <w:rPr>
      <w:b/>
      <w:i/>
      <w:u w:val="none"/>
    </w:rPr>
  </w:style>
  <w:style w:type="paragraph" w:styleId="BalloonText">
    <w:name w:val="Balloon Text"/>
    <w:basedOn w:val="Normal"/>
    <w:link w:val="BalloonTextChar"/>
    <w:rsid w:val="002B0D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D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D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D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D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D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D77"/>
    <w:pPr>
      <w:spacing w:before="0" w:after="0"/>
    </w:pPr>
  </w:style>
  <w:style w:type="paragraph" w:customStyle="1" w:styleId="BodyTextBold">
    <w:name w:val="Body Text Bold"/>
    <w:basedOn w:val="BodyText"/>
    <w:qFormat/>
    <w:rsid w:val="002B0D77"/>
    <w:rPr>
      <w:b/>
    </w:rPr>
  </w:style>
  <w:style w:type="character" w:styleId="Hyperlink">
    <w:name w:val="Hyperlink"/>
    <w:basedOn w:val="DefaultParagraphFont"/>
    <w:uiPriority w:val="99"/>
    <w:unhideWhenUsed/>
    <w:rsid w:val="001E0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4705</Characters>
  <Application>Microsoft Office Word</Application>
  <DocSecurity>0</DocSecurity>
  <Lines>204</Lines>
  <Paragraphs>98</Paragraphs>
  <ScaleCrop>false</ScaleCrop>
  <Company>Author-it Software Corporation Ltd.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CPCCCM2012 Work safely at heights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