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4FCE" w:rsidP="00534F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CPCCCM2012 Work safely at heights</w:t>
      </w:r>
      <w:r>
        <w:fldChar w:fldCharType="end"/>
      </w:r>
    </w:p>
    <w:p w:rsidR="00534FCE" w:rsidP="00534FCE">
      <w:pPr>
        <w:pStyle w:val="Version"/>
        <w:sectPr w:rsidSect="002C0E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C0EF7" w:rsidP="002C0EF7">
      <w:pPr>
        <w:pStyle w:val="SuperHeading"/>
      </w:pPr>
      <w:r w:rsidRPr="002C0EF7">
        <w:t>Assessment Requirements for CPCCCM2012 Work safely at heights</w:t>
      </w:r>
    </w:p>
    <w:p w:rsidR="00000000" w:rsidRPr="002C0EF7" w:rsidP="002C0EF7">
      <w:pPr>
        <w:pStyle w:val="Heading1"/>
      </w:pPr>
      <w:bookmarkStart w:id="1" w:name="O_1295210"/>
      <w:bookmarkEnd w:id="1"/>
      <w:r w:rsidRPr="002C0E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C0E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EF7">
            <w:pPr>
              <w:pStyle w:val="BodyText"/>
              <w:rPr>
                <w:lang w:val="en-NZ"/>
              </w:rPr>
            </w:pPr>
            <w:r w:rsidRPr="002C0EF7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EF7">
            <w:pPr>
              <w:pStyle w:val="BodyText"/>
              <w:rPr>
                <w:lang w:val="en-NZ"/>
              </w:rPr>
            </w:pPr>
            <w:r w:rsidRPr="002C0EF7">
              <w:t>Updated reference to general construction induction training program.</w:t>
            </w:r>
          </w:p>
        </w:tc>
      </w:tr>
      <w:tr w:rsidTr="002C0E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EF7">
            <w:pPr>
              <w:pStyle w:val="BodyText"/>
              <w:rPr>
                <w:lang w:val="en-NZ"/>
              </w:rPr>
            </w:pPr>
            <w:r w:rsidRPr="002C0EF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EF7" w:rsidP="002C0EF7">
            <w:pPr>
              <w:pStyle w:val="BodyText"/>
            </w:pPr>
            <w:r w:rsidRPr="002C0EF7">
              <w:t>This version first released with CPC Construction, Plumbing and Services Training Package Release 5.0.</w:t>
            </w:r>
          </w:p>
          <w:p w:rsidR="00000000" w:rsidRPr="002C0EF7" w:rsidP="002C0EF7">
            <w:pPr>
              <w:pStyle w:val="BodyText"/>
            </w:pPr>
            <w:r w:rsidRPr="002C0EF7">
              <w:t>Supersedes and is equivalent to CPCCCM2010B Work safely at heights.  Updated to meet the Standards for Training Packages 2012.</w:t>
            </w:r>
          </w:p>
        </w:tc>
      </w:tr>
    </w:tbl>
    <w:p w:rsidR="00000000" w:rsidRPr="002C0EF7" w:rsidP="002C0EF7">
      <w:pPr>
        <w:pStyle w:val="BodyText"/>
      </w:pPr>
    </w:p>
    <w:p w:rsidR="00000000" w:rsidRPr="002C0EF7" w:rsidP="002C0EF7">
      <w:pPr>
        <w:pStyle w:val="AllowPageBreak"/>
      </w:pPr>
    </w:p>
    <w:p w:rsidR="00000000" w:rsidRPr="002C0EF7" w:rsidP="002C0EF7">
      <w:pPr>
        <w:pStyle w:val="Heading1"/>
      </w:pPr>
      <w:bookmarkStart w:id="2" w:name="O_1295209"/>
      <w:bookmarkEnd w:id="2"/>
      <w:r w:rsidRPr="002C0EF7">
        <w:t>Performance Evidence</w:t>
      </w:r>
    </w:p>
    <w:p w:rsidR="00000000" w:rsidRPr="002C0EF7" w:rsidP="00534FCE">
      <w:pPr>
        <w:pStyle w:val="BodyText"/>
      </w:pPr>
      <w:r w:rsidRPr="002C0EF7">
        <w:t>To demonstrate competency in this unit, a candidate must meet the elements and performa</w:t>
      </w:r>
      <w:r w:rsidRPr="002C0EF7">
        <w:t>nce criteria by working safely at heights above 2 m on three occasions, using different fall protection equipment/devices on each occasion.</w:t>
      </w:r>
    </w:p>
    <w:p w:rsidR="00000000" w:rsidRPr="002C0EF7" w:rsidP="00534FCE">
      <w:pPr>
        <w:pStyle w:val="BodyText"/>
      </w:pPr>
      <w:r w:rsidRPr="002C0EF7">
        <w:t xml:space="preserve">One occasion must include a restraint technique (anchor point) system with a minimum of three anchor points. </w:t>
      </w:r>
    </w:p>
    <w:p w:rsidR="00000000" w:rsidRPr="002C0EF7" w:rsidP="00534FCE">
      <w:pPr>
        <w:pStyle w:val="BodyText"/>
      </w:pPr>
      <w:r w:rsidRPr="002C0EF7">
        <w:t>The ca</w:t>
      </w:r>
      <w:r w:rsidRPr="002C0EF7">
        <w:t xml:space="preserve">ndidate must access the work area, traverse between anchor points and exit from the work area. </w:t>
      </w:r>
    </w:p>
    <w:p w:rsidR="00000000" w:rsidRPr="002C0EF7" w:rsidP="002C0EF7">
      <w:pPr>
        <w:pStyle w:val="Heading1"/>
      </w:pPr>
      <w:bookmarkStart w:id="3" w:name="O_1295208"/>
      <w:bookmarkEnd w:id="3"/>
      <w:r w:rsidRPr="002C0EF7">
        <w:t>Knowledge Evidence</w:t>
      </w:r>
    </w:p>
    <w:p w:rsidR="00000000" w:rsidRPr="002C0EF7" w:rsidP="00534FCE">
      <w:pPr>
        <w:pStyle w:val="BodyText"/>
      </w:pPr>
      <w:r w:rsidRPr="002C0EF7">
        <w:t xml:space="preserve">To be competent in this unit, a candidate must demonstrate knowledge of: </w:t>
      </w:r>
    </w:p>
    <w:p w:rsidR="00000000" w:rsidRPr="002C0EF7" w:rsidP="002C0EF7">
      <w:pPr>
        <w:pStyle w:val="ListBullet"/>
      </w:pPr>
      <w:r w:rsidRPr="002C0EF7">
        <w:t>workplace and regulatory requirements for worki</w:t>
      </w:r>
      <w:r w:rsidRPr="002C0EF7">
        <w:t>ng safely at heights under applicable Commonwealth, state or territory work health and safety (WHS) legislation, Australian Standards and codes of practice:</w:t>
      </w:r>
    </w:p>
    <w:p w:rsidR="00000000" w:rsidRPr="002C0EF7" w:rsidP="002C0EF7">
      <w:pPr>
        <w:pStyle w:val="ListBullet2"/>
      </w:pPr>
      <w:r w:rsidRPr="002C0EF7">
        <w:t>hazard identification and risk control</w:t>
      </w:r>
    </w:p>
    <w:p w:rsidR="00000000" w:rsidRPr="002C0EF7" w:rsidP="002C0EF7">
      <w:pPr>
        <w:pStyle w:val="ListBullet2"/>
      </w:pPr>
      <w:r w:rsidRPr="002C0EF7">
        <w:t xml:space="preserve">job safety and environmental analyses (JSEAs) </w:t>
      </w:r>
    </w:p>
    <w:p w:rsidR="00000000" w:rsidRPr="002C0EF7" w:rsidP="002C0EF7">
      <w:pPr>
        <w:pStyle w:val="ListBullet2"/>
      </w:pPr>
      <w:r w:rsidRPr="002C0EF7">
        <w:t>safe work method statements (SWMSs)</w:t>
      </w:r>
    </w:p>
    <w:p w:rsidR="00000000" w:rsidRPr="002C0EF7" w:rsidP="002C0EF7">
      <w:pPr>
        <w:pStyle w:val="ListBullet2"/>
      </w:pPr>
      <w:r w:rsidRPr="002C0EF7">
        <w:t>safety data sheets (SDSs)</w:t>
      </w:r>
    </w:p>
    <w:p w:rsidR="00000000" w:rsidRPr="002C0EF7" w:rsidP="002C0EF7">
      <w:pPr>
        <w:pStyle w:val="ListBullet2"/>
      </w:pPr>
      <w:r w:rsidRPr="002C0EF7">
        <w:t>safety manuals and instructions for plant, tools and equipment:</w:t>
      </w:r>
    </w:p>
    <w:p w:rsidR="00000000" w:rsidRPr="002C0EF7" w:rsidP="002C0EF7">
      <w:pPr>
        <w:pStyle w:val="ListBullet3"/>
      </w:pPr>
      <w:r w:rsidRPr="002C0EF7">
        <w:t xml:space="preserve">operation manuals </w:t>
      </w:r>
    </w:p>
    <w:p w:rsidR="00000000" w:rsidRPr="002C0EF7" w:rsidP="002C0EF7">
      <w:pPr>
        <w:pStyle w:val="ListBullet3"/>
      </w:pPr>
      <w:r w:rsidRPr="002C0EF7">
        <w:t>manufacturer specifications</w:t>
      </w:r>
    </w:p>
    <w:p w:rsidR="00000000" w:rsidRPr="002C0EF7" w:rsidP="002C0EF7">
      <w:pPr>
        <w:pStyle w:val="ListBullet3"/>
      </w:pPr>
      <w:r w:rsidRPr="002C0EF7">
        <w:t>safety signs and load charts for plant</w:t>
      </w:r>
    </w:p>
    <w:p w:rsidR="00000000" w:rsidRPr="002C0EF7" w:rsidP="002C0EF7">
      <w:pPr>
        <w:pStyle w:val="ListBullet2"/>
      </w:pPr>
      <w:r w:rsidRPr="002C0EF7">
        <w:t>signage and barricades</w:t>
      </w:r>
    </w:p>
    <w:p w:rsidR="00000000" w:rsidRPr="002C0EF7" w:rsidP="002C0EF7">
      <w:pPr>
        <w:pStyle w:val="ListBullet2"/>
      </w:pPr>
      <w:r w:rsidRPr="002C0EF7">
        <w:t>selection, fitting and use of personal protective equipment (PPE)</w:t>
      </w:r>
    </w:p>
    <w:p w:rsidR="00000000" w:rsidRPr="002C0EF7" w:rsidP="002C0EF7">
      <w:pPr>
        <w:pStyle w:val="ListBullet2"/>
      </w:pPr>
      <w:r w:rsidRPr="002C0EF7">
        <w:t>environmental and worksite safety plans</w:t>
      </w:r>
    </w:p>
    <w:p w:rsidR="00000000" w:rsidRPr="002C0EF7" w:rsidP="002C0EF7">
      <w:pPr>
        <w:pStyle w:val="ListBullet2"/>
      </w:pPr>
      <w:r w:rsidRPr="002C0EF7">
        <w:t>reporting problems</w:t>
      </w:r>
    </w:p>
    <w:p w:rsidR="00000000" w:rsidRPr="002C0EF7" w:rsidP="002C0EF7">
      <w:pPr>
        <w:pStyle w:val="ListBullet"/>
      </w:pPr>
      <w:r w:rsidRPr="002C0EF7">
        <w:t>processes for planning to work safely at heights:</w:t>
      </w:r>
    </w:p>
    <w:p w:rsidR="00000000" w:rsidRPr="002C0EF7" w:rsidP="002C0EF7">
      <w:pPr>
        <w:pStyle w:val="ListBullet2"/>
      </w:pPr>
      <w:r w:rsidRPr="002C0EF7">
        <w:t>assessment of weather and ground conditions that may affect safety while working at heights</w:t>
      </w:r>
    </w:p>
    <w:p w:rsidR="00000000" w:rsidRPr="002C0EF7" w:rsidP="002C0EF7">
      <w:pPr>
        <w:pStyle w:val="ListBullet2"/>
      </w:pPr>
      <w:r w:rsidRPr="002C0EF7">
        <w:t>assessment of conditions and hazards</w:t>
      </w:r>
    </w:p>
    <w:p w:rsidR="00000000" w:rsidRPr="002C0EF7" w:rsidP="002C0EF7">
      <w:pPr>
        <w:pStyle w:val="ListBullet2"/>
      </w:pPr>
      <w:r w:rsidRPr="002C0EF7">
        <w:t>determination of work requirements</w:t>
      </w:r>
    </w:p>
    <w:p w:rsidR="00000000" w:rsidRPr="002C0EF7" w:rsidP="002C0EF7">
      <w:pPr>
        <w:pStyle w:val="ListBullet2"/>
      </w:pPr>
      <w:r w:rsidRPr="002C0EF7">
        <w:t>identification of equipment defects</w:t>
      </w:r>
    </w:p>
    <w:p w:rsidR="00000000" w:rsidRPr="002C0EF7" w:rsidP="002C0EF7">
      <w:pPr>
        <w:pStyle w:val="ListBullet2"/>
      </w:pPr>
      <w:r w:rsidRPr="002C0EF7">
        <w:t>inspection of worksites</w:t>
      </w:r>
    </w:p>
    <w:p w:rsidR="00000000" w:rsidRPr="002C0EF7" w:rsidP="002C0EF7">
      <w:pPr>
        <w:pStyle w:val="ListBullet"/>
      </w:pPr>
      <w:r w:rsidRPr="002C0EF7">
        <w:t xml:space="preserve">methods for identifying common </w:t>
      </w:r>
      <w:r w:rsidRPr="002C0EF7">
        <w:t>faults with scaffold or work platform systems</w:t>
      </w:r>
    </w:p>
    <w:p w:rsidR="00000000" w:rsidRPr="002C0EF7" w:rsidP="002C0EF7">
      <w:pPr>
        <w:pStyle w:val="ListBullet"/>
      </w:pPr>
      <w:r w:rsidRPr="002C0EF7">
        <w:t>types, characteristics, uses and limitations of equipment used when working safely at heights:</w:t>
      </w:r>
    </w:p>
    <w:p w:rsidR="00000000" w:rsidRPr="002C0EF7" w:rsidP="002C0EF7">
      <w:pPr>
        <w:pStyle w:val="ListBullet2"/>
      </w:pPr>
      <w:r w:rsidRPr="002C0EF7">
        <w:t>air compressors and hoses</w:t>
      </w:r>
    </w:p>
    <w:p w:rsidR="00000000" w:rsidRPr="002C0EF7" w:rsidP="002C0EF7">
      <w:pPr>
        <w:pStyle w:val="ListBullet2"/>
      </w:pPr>
      <w:r w:rsidRPr="002C0EF7">
        <w:t>anchor points</w:t>
      </w:r>
    </w:p>
    <w:p w:rsidR="00000000" w:rsidRPr="002C0EF7" w:rsidP="002C0EF7">
      <w:pPr>
        <w:pStyle w:val="ListBullet2"/>
      </w:pPr>
      <w:r w:rsidRPr="002C0EF7">
        <w:t>edge protection</w:t>
      </w:r>
    </w:p>
    <w:p w:rsidR="00000000" w:rsidRPr="002C0EF7" w:rsidP="002C0EF7">
      <w:pPr>
        <w:pStyle w:val="ListBullet2"/>
      </w:pPr>
      <w:r w:rsidRPr="002C0EF7">
        <w:t>elevated work platforms (EWPs)</w:t>
      </w:r>
    </w:p>
    <w:p w:rsidR="00000000" w:rsidRPr="002C0EF7" w:rsidP="002C0EF7">
      <w:pPr>
        <w:pStyle w:val="ListBullet2"/>
      </w:pPr>
      <w:r w:rsidRPr="002C0EF7">
        <w:t>fall arrest anchors</w:t>
      </w:r>
    </w:p>
    <w:p w:rsidR="00000000" w:rsidRPr="002C0EF7" w:rsidP="002C0EF7">
      <w:pPr>
        <w:pStyle w:val="ListBullet2"/>
      </w:pPr>
      <w:r w:rsidRPr="002C0EF7">
        <w:t>fall ar</w:t>
      </w:r>
      <w:r w:rsidRPr="002C0EF7">
        <w:t>rest inertia reels</w:t>
      </w:r>
    </w:p>
    <w:p w:rsidR="00000000" w:rsidRPr="002C0EF7" w:rsidP="002C0EF7">
      <w:pPr>
        <w:pStyle w:val="ListBullet2"/>
      </w:pPr>
      <w:r w:rsidRPr="002C0EF7">
        <w:t>guard rails</w:t>
      </w:r>
    </w:p>
    <w:p w:rsidR="00000000" w:rsidRPr="002C0EF7" w:rsidP="002C0EF7">
      <w:pPr>
        <w:pStyle w:val="ListBullet2"/>
      </w:pPr>
      <w:r w:rsidRPr="002C0EF7">
        <w:t>hand and power tools including nail guns</w:t>
      </w:r>
    </w:p>
    <w:p w:rsidR="00000000" w:rsidRPr="002C0EF7" w:rsidP="002C0EF7">
      <w:pPr>
        <w:pStyle w:val="ListBullet2"/>
      </w:pPr>
      <w:r w:rsidRPr="002C0EF7">
        <w:t>ladders</w:t>
      </w:r>
    </w:p>
    <w:p w:rsidR="00000000" w:rsidRPr="002C0EF7" w:rsidP="002C0EF7">
      <w:pPr>
        <w:pStyle w:val="ListBullet2"/>
      </w:pPr>
      <w:r w:rsidRPr="002C0EF7">
        <w:t>power leads</w:t>
      </w:r>
    </w:p>
    <w:p w:rsidR="00000000" w:rsidRPr="002C0EF7" w:rsidP="002C0EF7">
      <w:pPr>
        <w:pStyle w:val="ListBullet2"/>
      </w:pPr>
      <w:r w:rsidRPr="002C0EF7">
        <w:t>rescue equipment</w:t>
      </w:r>
    </w:p>
    <w:p w:rsidR="00000000" w:rsidRPr="002C0EF7" w:rsidP="002C0EF7">
      <w:pPr>
        <w:pStyle w:val="ListBullet2"/>
      </w:pPr>
      <w:r w:rsidRPr="002C0EF7">
        <w:t>ropes</w:t>
      </w:r>
    </w:p>
    <w:p w:rsidR="00000000" w:rsidRPr="002C0EF7" w:rsidP="002C0EF7">
      <w:pPr>
        <w:pStyle w:val="ListBullet2"/>
      </w:pPr>
      <w:r w:rsidRPr="002C0EF7">
        <w:t>safety harnesses, lanyards and attachments such as snap hooks and carabiners</w:t>
      </w:r>
    </w:p>
    <w:p w:rsidR="00000000" w:rsidRPr="002C0EF7" w:rsidP="002C0EF7">
      <w:pPr>
        <w:pStyle w:val="ListBullet2"/>
      </w:pPr>
      <w:r w:rsidRPr="002C0EF7">
        <w:t>scaffolding</w:t>
      </w:r>
    </w:p>
    <w:p w:rsidR="00000000" w:rsidRPr="002C0EF7" w:rsidP="002C0EF7">
      <w:pPr>
        <w:pStyle w:val="ListBullet2"/>
      </w:pPr>
      <w:r w:rsidRPr="002C0EF7">
        <w:t>shock absorbers</w:t>
      </w:r>
    </w:p>
    <w:p w:rsidR="00000000" w:rsidRPr="002C0EF7" w:rsidP="002C0EF7">
      <w:pPr>
        <w:pStyle w:val="ListBullet2"/>
      </w:pPr>
      <w:r w:rsidRPr="002C0EF7">
        <w:t>stairways</w:t>
      </w:r>
    </w:p>
    <w:p w:rsidR="00000000" w:rsidRPr="002C0EF7" w:rsidP="002C0EF7">
      <w:pPr>
        <w:pStyle w:val="ListBullet2"/>
      </w:pPr>
      <w:r w:rsidRPr="002C0EF7">
        <w:t>static line systems</w:t>
      </w:r>
    </w:p>
    <w:p w:rsidR="00000000" w:rsidRPr="002C0EF7" w:rsidP="002C0EF7">
      <w:pPr>
        <w:pStyle w:val="ListBullet2"/>
      </w:pPr>
      <w:r w:rsidRPr="002C0EF7">
        <w:t>temporary anchor systems</w:t>
      </w:r>
    </w:p>
    <w:p w:rsidR="00000000" w:rsidRPr="002C0EF7" w:rsidP="002C0EF7">
      <w:pPr>
        <w:pStyle w:val="ListBullet2"/>
      </w:pPr>
      <w:r w:rsidRPr="002C0EF7">
        <w:t>trestles</w:t>
      </w:r>
    </w:p>
    <w:p w:rsidR="00534FCE" w:rsidP="002C0EF7">
      <w:pPr>
        <w:pStyle w:val="ListBullet"/>
      </w:pPr>
      <w:r w:rsidRPr="002C0EF7">
        <w:t>safe methods for accessing work area, traversing between anchor points and exiting from work area including removing tools and materials when working at heights.</w:t>
      </w:r>
    </w:p>
    <w:p w:rsidR="00534FCE" w:rsidP="002C0EF7">
      <w:pPr>
        <w:pStyle w:val="ListBullet"/>
      </w:pPr>
    </w:p>
    <w:p w:rsidR="00000000" w:rsidRPr="002C0EF7" w:rsidP="002C0EF7">
      <w:pPr>
        <w:pStyle w:val="Heading1"/>
      </w:pPr>
      <w:bookmarkStart w:id="4" w:name="O_1295207"/>
      <w:bookmarkEnd w:id="4"/>
      <w:r w:rsidRPr="002C0EF7">
        <w:t>Assessment Conditions</w:t>
      </w:r>
    </w:p>
    <w:p w:rsidR="00000000" w:rsidRPr="002C0EF7" w:rsidP="00534FCE">
      <w:pPr>
        <w:pStyle w:val="BodyText"/>
      </w:pPr>
      <w:r w:rsidRPr="002C0EF7">
        <w:t xml:space="preserve">Assessors must meet the requirements for assessors outlined in the Standards for Registered Training Organisations. </w:t>
      </w:r>
    </w:p>
    <w:p w:rsidR="00000000" w:rsidRPr="002C0EF7" w:rsidP="00534FCE">
      <w:pPr>
        <w:pStyle w:val="BodyText"/>
      </w:pPr>
      <w:r w:rsidRPr="002C0EF7">
        <w:t>Assessment must be conducted in the workplace or a simulated workplace using realistic conditions, materials, activities, responsibilities,</w:t>
      </w:r>
      <w:r w:rsidRPr="002C0EF7">
        <w:t xml:space="preserve"> procedures, safety requirements and environmental considerations.</w:t>
      </w:r>
    </w:p>
    <w:p w:rsidR="00000000" w:rsidRPr="002C0EF7" w:rsidP="00534FCE">
      <w:pPr>
        <w:pStyle w:val="BodyText"/>
      </w:pPr>
      <w:r w:rsidRPr="002C0EF7">
        <w:t>Candidates must have access to:</w:t>
      </w:r>
    </w:p>
    <w:p w:rsidR="00000000" w:rsidRPr="002C0EF7" w:rsidP="002C0EF7">
      <w:pPr>
        <w:pStyle w:val="ListBullet"/>
      </w:pPr>
      <w:r w:rsidRPr="002C0EF7">
        <w:t xml:space="preserve">industry-standard equipment required to perform the tasks specified in the Performance Evidence </w:t>
      </w:r>
    </w:p>
    <w:p w:rsidR="00000000" w:rsidRPr="002C0EF7" w:rsidP="002C0EF7">
      <w:pPr>
        <w:pStyle w:val="ListBullet"/>
      </w:pPr>
      <w:r w:rsidRPr="002C0EF7">
        <w:t>appropriate workplace information and records, including po</w:t>
      </w:r>
      <w:r w:rsidRPr="002C0EF7">
        <w:t>licies, procedures and legislative requirements.</w:t>
      </w:r>
    </w:p>
    <w:p w:rsidR="00000000" w:rsidRPr="002C0EF7" w:rsidP="002C0EF7">
      <w:pPr>
        <w:pStyle w:val="AllowPageBreak"/>
      </w:pPr>
    </w:p>
    <w:p w:rsidR="00000000" w:rsidRPr="002C0EF7" w:rsidP="002C0EF7">
      <w:pPr>
        <w:pStyle w:val="Heading1"/>
      </w:pPr>
      <w:bookmarkStart w:id="5" w:name="O_1295220"/>
      <w:bookmarkEnd w:id="5"/>
      <w:r w:rsidRPr="002C0EF7">
        <w:t>Links</w:t>
      </w:r>
    </w:p>
    <w:p w:rsidR="00000000" w:rsidRPr="002C0EF7" w:rsidP="00534FCE">
      <w:pPr>
        <w:pStyle w:val="BodyText"/>
      </w:pPr>
      <w:r w:rsidRPr="002C0EF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1365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C0EF7" w:rsidP="002C0EF7"/>
    <w:sectPr w:rsidSect="002C0E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E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EF7" w:rsidRPr="00534FCE" w:rsidP="00534F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E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FCE" w:rsidP="002C0E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4FCE" w:rsidP="002C0E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34FCE" w:rsidP="002C0E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E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F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0EF7" w:rsidRPr="00534FCE" w:rsidP="00534F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E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FCE" w:rsidRPr="002D2AF8" w:rsidP="002C0E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CPCCCM2012 Work safely at heights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534FCE" w:rsidP="002C0E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7273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38FE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C808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0E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0E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0E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0E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0E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0E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0E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0E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0E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0E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0E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0EF7"/>
  </w:style>
  <w:style w:type="character" w:customStyle="1" w:styleId="Heading1Char">
    <w:name w:val="Heading 1 Char"/>
    <w:basedOn w:val="DefaultParagraphFont"/>
    <w:link w:val="Heading1"/>
    <w:rsid w:val="002C0E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0E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0E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0EF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C0EF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C0E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0E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C0EF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C0E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0E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0E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0E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0E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0E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0E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0E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0E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0E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0E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0E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0E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0E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0E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0E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0E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0E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0E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0E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C0EF7"/>
    <w:rPr>
      <w:b/>
      <w:spacing w:val="0"/>
    </w:rPr>
  </w:style>
  <w:style w:type="paragraph" w:customStyle="1" w:styleId="SuperTitle">
    <w:name w:val="SuperTitle"/>
    <w:basedOn w:val="Title"/>
    <w:rsid w:val="002C0E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0E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0E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0E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0E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0E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0E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0E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0E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0E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0E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0E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0EF7"/>
    <w:rPr>
      <w:i/>
    </w:rPr>
  </w:style>
  <w:style w:type="paragraph" w:styleId="Caption">
    <w:name w:val="caption"/>
    <w:basedOn w:val="BodyText"/>
    <w:next w:val="Normal"/>
    <w:qFormat/>
    <w:rsid w:val="002C0E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0E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0E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0EF7"/>
  </w:style>
  <w:style w:type="paragraph" w:styleId="TableofFigures">
    <w:name w:val="table of figures"/>
    <w:basedOn w:val="Normal"/>
    <w:next w:val="Normal"/>
    <w:semiHidden/>
    <w:rsid w:val="002C0E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0EF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C0EF7"/>
    <w:rPr>
      <w:rFonts w:ascii="Wingdings" w:hAnsi="Wingdings"/>
    </w:rPr>
  </w:style>
  <w:style w:type="paragraph" w:customStyle="1" w:styleId="TableHeading">
    <w:name w:val="Table Heading"/>
    <w:basedOn w:val="HeadingBase"/>
    <w:rsid w:val="002C0E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0EF7"/>
    <w:rPr>
      <w:color w:val="0033CC"/>
      <w:u w:val="none"/>
    </w:rPr>
  </w:style>
  <w:style w:type="paragraph" w:customStyle="1" w:styleId="BodyTextRight">
    <w:name w:val="Body Text Right"/>
    <w:basedOn w:val="BodyText"/>
    <w:rsid w:val="002C0E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0E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0EF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0E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0E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0E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0EF7"/>
    <w:rPr>
      <w:sz w:val="32"/>
    </w:rPr>
  </w:style>
  <w:style w:type="paragraph" w:customStyle="1" w:styleId="HeadingProcedure">
    <w:name w:val="Heading Procedure"/>
    <w:basedOn w:val="HeadingBase"/>
    <w:next w:val="Normal"/>
    <w:rsid w:val="002C0E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0EF7"/>
    <w:pPr>
      <w:spacing w:before="60" w:after="60"/>
    </w:pPr>
  </w:style>
  <w:style w:type="paragraph" w:styleId="ListContinue">
    <w:name w:val="List Continue"/>
    <w:basedOn w:val="List"/>
    <w:rsid w:val="002C0EF7"/>
    <w:pPr>
      <w:ind w:firstLine="0"/>
    </w:pPr>
  </w:style>
  <w:style w:type="paragraph" w:customStyle="1" w:styleId="ListNote">
    <w:name w:val="List Note"/>
    <w:basedOn w:val="List"/>
    <w:rsid w:val="002C0E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0E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0E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0EF7"/>
    <w:rPr>
      <w:rFonts w:ascii="Courier New" w:hAnsi="Courier New"/>
    </w:rPr>
  </w:style>
  <w:style w:type="paragraph" w:customStyle="1" w:styleId="NoteBullet">
    <w:name w:val="Note Bullet"/>
    <w:basedOn w:val="Note"/>
    <w:rsid w:val="002C0E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0E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0E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0E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0EF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C0E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0E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0EF7"/>
    <w:rPr>
      <w:b/>
      <w:smallCaps/>
    </w:rPr>
  </w:style>
  <w:style w:type="paragraph" w:customStyle="1" w:styleId="TableListNumber">
    <w:name w:val="Table List Number"/>
    <w:basedOn w:val="ListNumber"/>
    <w:rsid w:val="002C0E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0E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0EF7"/>
    <w:pPr>
      <w:numPr>
        <w:numId w:val="10"/>
      </w:numPr>
    </w:pPr>
  </w:style>
  <w:style w:type="paragraph" w:customStyle="1" w:styleId="ListAlpha2">
    <w:name w:val="List Alpha 2"/>
    <w:basedOn w:val="List2"/>
    <w:rsid w:val="002C0EF7"/>
    <w:pPr>
      <w:numPr>
        <w:numId w:val="9"/>
      </w:numPr>
    </w:pPr>
  </w:style>
  <w:style w:type="paragraph" w:styleId="List2">
    <w:name w:val="List 2"/>
    <w:basedOn w:val="BodyText"/>
    <w:rsid w:val="002C0E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0E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0E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0EF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C0EF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C0EF7"/>
    <w:pPr>
      <w:numPr>
        <w:numId w:val="5"/>
      </w:numPr>
    </w:pPr>
  </w:style>
  <w:style w:type="paragraph" w:styleId="ListContinue2">
    <w:name w:val="List Continue 2"/>
    <w:basedOn w:val="List2"/>
    <w:rsid w:val="002C0EF7"/>
    <w:pPr>
      <w:ind w:firstLine="0"/>
    </w:pPr>
  </w:style>
  <w:style w:type="paragraph" w:styleId="ListContinue3">
    <w:name w:val="List Continue 3"/>
    <w:basedOn w:val="List3"/>
    <w:rsid w:val="002C0EF7"/>
    <w:pPr>
      <w:ind w:left="1021" w:firstLine="0"/>
    </w:pPr>
  </w:style>
  <w:style w:type="paragraph" w:styleId="ListContinue4">
    <w:name w:val="List Continue 4"/>
    <w:basedOn w:val="List4"/>
    <w:rsid w:val="002C0EF7"/>
    <w:pPr>
      <w:ind w:firstLine="0"/>
    </w:pPr>
  </w:style>
  <w:style w:type="paragraph" w:styleId="ListContinue5">
    <w:name w:val="List Continue 5"/>
    <w:basedOn w:val="List5"/>
    <w:rsid w:val="002C0EF7"/>
    <w:pPr>
      <w:ind w:firstLine="0"/>
    </w:pPr>
  </w:style>
  <w:style w:type="paragraph" w:styleId="ListNumber3">
    <w:name w:val="List Number 3"/>
    <w:basedOn w:val="List3"/>
    <w:rsid w:val="002C0EF7"/>
    <w:pPr>
      <w:numPr>
        <w:numId w:val="6"/>
      </w:numPr>
    </w:pPr>
  </w:style>
  <w:style w:type="paragraph" w:styleId="ListNumber4">
    <w:name w:val="List Number 4"/>
    <w:basedOn w:val="List4"/>
    <w:rsid w:val="002C0EF7"/>
    <w:pPr>
      <w:numPr>
        <w:numId w:val="7"/>
      </w:numPr>
    </w:pPr>
  </w:style>
  <w:style w:type="paragraph" w:styleId="ListNumber5">
    <w:name w:val="List Number 5"/>
    <w:basedOn w:val="List5"/>
    <w:rsid w:val="002C0EF7"/>
    <w:pPr>
      <w:numPr>
        <w:numId w:val="8"/>
      </w:numPr>
    </w:pPr>
  </w:style>
  <w:style w:type="paragraph" w:styleId="BlockText">
    <w:name w:val="Block Text"/>
    <w:basedOn w:val="Normal"/>
    <w:rsid w:val="002C0E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0E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0EF7"/>
    <w:rPr>
      <w:sz w:val="16"/>
      <w:vertAlign w:val="superscript"/>
    </w:rPr>
  </w:style>
  <w:style w:type="character" w:customStyle="1" w:styleId="Symbols">
    <w:name w:val="Symbols"/>
    <w:basedOn w:val="DefaultParagraphFont"/>
    <w:rsid w:val="002C0EF7"/>
    <w:rPr>
      <w:rFonts w:ascii="Symbol" w:hAnsi="Symbol"/>
    </w:rPr>
  </w:style>
  <w:style w:type="character" w:customStyle="1" w:styleId="MenuOptions">
    <w:name w:val="Menu Options"/>
    <w:basedOn w:val="DefaultParagraphFont"/>
    <w:rsid w:val="002C0E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0EF7"/>
    <w:rPr>
      <w:b/>
    </w:rPr>
  </w:style>
  <w:style w:type="character" w:customStyle="1" w:styleId="Underlined">
    <w:name w:val="Underlined"/>
    <w:basedOn w:val="DefaultParagraphFont"/>
    <w:rsid w:val="002C0EF7"/>
    <w:rPr>
      <w:u w:val="single"/>
    </w:rPr>
  </w:style>
  <w:style w:type="paragraph" w:customStyle="1" w:styleId="TableBodyTextRight">
    <w:name w:val="Table Body Text Right"/>
    <w:basedOn w:val="TableBodyText"/>
    <w:rsid w:val="002C0E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0EF7"/>
    <w:rPr>
      <w:sz w:val="18"/>
    </w:rPr>
  </w:style>
  <w:style w:type="paragraph" w:customStyle="1" w:styleId="BodySmallRight">
    <w:name w:val="Body Small Right"/>
    <w:basedOn w:val="BodyTextRight"/>
    <w:rsid w:val="002C0EF7"/>
    <w:rPr>
      <w:sz w:val="18"/>
      <w:szCs w:val="18"/>
    </w:rPr>
  </w:style>
  <w:style w:type="paragraph" w:customStyle="1" w:styleId="MarginEdition">
    <w:name w:val="Margin Edition"/>
    <w:basedOn w:val="MarginNote"/>
    <w:rsid w:val="002C0E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0EF7"/>
    <w:rPr>
      <w:sz w:val="2"/>
      <w:szCs w:val="2"/>
    </w:rPr>
  </w:style>
  <w:style w:type="character" w:customStyle="1" w:styleId="Small">
    <w:name w:val="Small"/>
    <w:basedOn w:val="DefaultParagraphFont"/>
    <w:rsid w:val="002C0EF7"/>
    <w:rPr>
      <w:sz w:val="16"/>
    </w:rPr>
  </w:style>
  <w:style w:type="paragraph" w:customStyle="1" w:styleId="WideTable">
    <w:name w:val="Wide Table"/>
    <w:basedOn w:val="Normal"/>
    <w:rsid w:val="002C0E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0EF7"/>
  </w:style>
  <w:style w:type="paragraph" w:styleId="Quote">
    <w:name w:val="Quote"/>
    <w:basedOn w:val="Heading1"/>
    <w:link w:val="QuoteChar"/>
    <w:qFormat/>
    <w:rsid w:val="002C0E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0E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0EF7"/>
    <w:pPr>
      <w:pageBreakBefore/>
    </w:pPr>
  </w:style>
  <w:style w:type="paragraph" w:customStyle="1" w:styleId="Border">
    <w:name w:val="Border"/>
    <w:basedOn w:val="Normal"/>
    <w:qFormat/>
    <w:rsid w:val="002C0E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0E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0E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0E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0E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0E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0E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0E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0E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0EF7"/>
    <w:rPr>
      <w:u w:val="single"/>
    </w:rPr>
  </w:style>
  <w:style w:type="character" w:customStyle="1" w:styleId="BoldandItalics">
    <w:name w:val="Bold and Italics"/>
    <w:qFormat/>
    <w:rsid w:val="002C0EF7"/>
    <w:rPr>
      <w:b/>
      <w:i/>
      <w:u w:val="none"/>
    </w:rPr>
  </w:style>
  <w:style w:type="paragraph" w:styleId="BalloonText">
    <w:name w:val="Balloon Text"/>
    <w:basedOn w:val="Normal"/>
    <w:link w:val="BalloonTextChar"/>
    <w:rsid w:val="002C0E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0E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0E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0E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0E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0E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0EF7"/>
    <w:pPr>
      <w:spacing w:before="0" w:after="0"/>
    </w:pPr>
  </w:style>
  <w:style w:type="paragraph" w:customStyle="1" w:styleId="BodyTextBold">
    <w:name w:val="Body Text Bold"/>
    <w:basedOn w:val="BodyText"/>
    <w:qFormat/>
    <w:rsid w:val="002C0EF7"/>
    <w:rPr>
      <w:b/>
    </w:rPr>
  </w:style>
  <w:style w:type="character" w:styleId="Hyperlink">
    <w:name w:val="Hyperlink"/>
    <w:basedOn w:val="DefaultParagraphFont"/>
    <w:uiPriority w:val="99"/>
    <w:unhideWhenUsed/>
    <w:rsid w:val="00534F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478</Words>
  <Characters>3138</Characters>
  <Application>Microsoft Office Word</Application>
  <DocSecurity>0</DocSecurity>
  <Lines>95</Lines>
  <Paragraphs>75</Paragraphs>
  <ScaleCrop>false</ScaleCrop>
  <Company>Author-it Software Corporation Ltd.</Company>
  <LinksUpToDate>false</LinksUpToDate>
  <CharactersWithSpaces>3541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CPCCCM2012 Work safely at heights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2024-12-24T01:19:00Z</dcterms:created>
  <dcterms:modified xsi:type="dcterms:W3CDTF">2024-12-24T01:19:00Z</dcterms:modified>
</cp:coreProperties>
</file>