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982" w:rsidP="00E52982">
      <w:pPr>
        <w:pStyle w:val="Title"/>
      </w:pPr>
      <w:r>
        <w:fldChar w:fldCharType="begin"/>
      </w:r>
      <w:r>
        <w:instrText xml:space="preserve"> TITLE   \* MERGEFORMAT </w:instrText>
      </w:r>
      <w:r>
        <w:fldChar w:fldCharType="separate"/>
      </w:r>
      <w:r>
        <w:t>CPCCCM2010 Work safely on scaffolding higher than two metres</w:t>
      </w:r>
      <w:r>
        <w:fldChar w:fldCharType="end"/>
      </w:r>
    </w:p>
    <w:p w:rsidR="00E52982" w:rsidP="00E52982">
      <w:pPr>
        <w:pStyle w:val="Version"/>
        <w:sectPr w:rsidSect="00267E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E5B" w:rsidP="00267E5B">
      <w:pPr>
        <w:pStyle w:val="SuperHeading"/>
      </w:pPr>
      <w:r w:rsidRPr="00267E5B">
        <w:t>CPCCCM2010 Work safely on scaffolding higher than two metres</w:t>
      </w:r>
    </w:p>
    <w:p w:rsidR="00000000" w:rsidRPr="00267E5B" w:rsidP="00267E5B">
      <w:pPr>
        <w:pStyle w:val="Heading1"/>
      </w:pPr>
      <w:bookmarkStart w:id="1" w:name="O_829394"/>
      <w:bookmarkEnd w:id="1"/>
      <w:r w:rsidRPr="00267E5B">
        <w:t>Modification History</w:t>
      </w:r>
    </w:p>
    <w:p w:rsidR="00000000" w:rsidRPr="00267E5B" w:rsidP="00E52982">
      <w:pPr>
        <w:pStyle w:val="BodyText"/>
      </w:pPr>
      <w:r w:rsidRPr="00267E5B">
        <w:t>Release 1.</w:t>
      </w:r>
    </w:p>
    <w:p w:rsidR="00000000" w:rsidRPr="00267E5B" w:rsidP="00E52982">
      <w:pPr>
        <w:pStyle w:val="BodyText"/>
      </w:pPr>
      <w:r w:rsidRPr="00267E5B">
        <w:t>This version first released with CPC Construction, Plumbing and Services Training Package Version 2.</w:t>
      </w:r>
    </w:p>
    <w:p w:rsidR="00000000" w:rsidRPr="00267E5B" w:rsidP="00267E5B">
      <w:pPr>
        <w:pStyle w:val="Heading1"/>
      </w:pPr>
      <w:bookmarkStart w:id="2" w:name="O_829402"/>
      <w:bookmarkEnd w:id="2"/>
      <w:r w:rsidRPr="00267E5B">
        <w:t>Application</w:t>
      </w:r>
    </w:p>
    <w:p w:rsidR="00000000" w:rsidRPr="00267E5B" w:rsidP="00E52982">
      <w:pPr>
        <w:pStyle w:val="BodyText"/>
      </w:pPr>
      <w:r w:rsidRPr="00267E5B">
        <w:t>This unit of competency specifies the outcomes required to work safely on con</w:t>
      </w:r>
      <w:r w:rsidRPr="00267E5B">
        <w:t>struction sites where the work activity involves working above two metres from ground level and where fall protection measures are required. It covers safe methods for accessing the work site; and safe methods of moving or passing tools, equipment and mate</w:t>
      </w:r>
      <w:r w:rsidRPr="00267E5B">
        <w:t>rials to heights above two metres, including handling methods that avoid excessive bending or twisting.</w:t>
      </w:r>
    </w:p>
    <w:p w:rsidR="00000000" w:rsidRPr="00267E5B" w:rsidP="00E52982">
      <w:pPr>
        <w:pStyle w:val="BodyText"/>
      </w:pPr>
      <w:r w:rsidRPr="00267E5B">
        <w:t>The unit supports construction workers operating from scaffolding over two metres in height that has already been constructed with signage and exclusio</w:t>
      </w:r>
      <w:r w:rsidRPr="00267E5B">
        <w:t xml:space="preserve">n barriers in place, in order to reach upper storeys or roofs of buildings. It applies to workers who need to control the risk of falling and of falling objects when working on site or removing scaffold components. </w:t>
      </w:r>
    </w:p>
    <w:p w:rsidR="00000000" w:rsidRPr="00267E5B" w:rsidP="00E52982">
      <w:pPr>
        <w:pStyle w:val="BodyText"/>
      </w:pPr>
      <w:r w:rsidRPr="00267E5B">
        <w:t>It applies to construction work on resi</w:t>
      </w:r>
      <w:r w:rsidRPr="00267E5B">
        <w:t xml:space="preserve">dential and commercial work sites in new construction, renovation or refurbishment, and maintenance projects. </w:t>
      </w:r>
    </w:p>
    <w:p w:rsidR="00E52982" w:rsidP="00E52982">
      <w:pPr>
        <w:pStyle w:val="BodyText"/>
      </w:pPr>
      <w:r w:rsidRPr="00267E5B">
        <w:t>No licensing, legislative, regulatory, or certification requirements apply to this unit of competency at the time of endorsement.</w:t>
      </w:r>
    </w:p>
    <w:p w:rsidR="00000000" w:rsidRPr="00267E5B" w:rsidP="00267E5B">
      <w:pPr>
        <w:pStyle w:val="Heading1"/>
      </w:pPr>
      <w:bookmarkStart w:id="3" w:name="O_829401"/>
      <w:bookmarkEnd w:id="3"/>
      <w:r w:rsidRPr="00267E5B">
        <w:t>Pre-requisite Unit</w:t>
      </w:r>
    </w:p>
    <w:p w:rsidR="00000000" w:rsidRPr="00267E5B" w:rsidP="00E52982">
      <w:pPr>
        <w:pStyle w:val="BodyText"/>
      </w:pPr>
      <w:r w:rsidRPr="00267E5B">
        <w:t>Nil</w:t>
      </w:r>
    </w:p>
    <w:p w:rsidR="00000000" w:rsidRPr="00267E5B" w:rsidP="00267E5B">
      <w:pPr>
        <w:pStyle w:val="Heading1"/>
      </w:pPr>
      <w:bookmarkStart w:id="4" w:name="O_829400"/>
      <w:bookmarkEnd w:id="4"/>
      <w:r w:rsidRPr="00267E5B">
        <w:t>Competency Field</w:t>
      </w:r>
    </w:p>
    <w:p w:rsidR="00E52982" w:rsidP="00E52982">
      <w:pPr>
        <w:pStyle w:val="BodyText"/>
      </w:pPr>
      <w:r w:rsidRPr="00267E5B">
        <w:t>Common</w:t>
      </w:r>
    </w:p>
    <w:p w:rsidR="00000000" w:rsidRPr="00267E5B" w:rsidP="00267E5B">
      <w:pPr>
        <w:pStyle w:val="Heading1"/>
      </w:pPr>
      <w:bookmarkStart w:id="5" w:name="O_829399"/>
      <w:bookmarkEnd w:id="5"/>
      <w:r w:rsidRPr="00267E5B">
        <w:t>Unit Sector</w:t>
      </w:r>
    </w:p>
    <w:p w:rsidR="00000000" w:rsidRPr="00267E5B" w:rsidP="00E52982">
      <w:pPr>
        <w:pStyle w:val="BodyText"/>
      </w:pPr>
      <w:r w:rsidRPr="00267E5B">
        <w:t>Construction</w:t>
      </w:r>
    </w:p>
    <w:p w:rsidR="00000000" w:rsidRPr="00267E5B" w:rsidP="00267E5B">
      <w:pPr>
        <w:pStyle w:val="Heading1"/>
      </w:pPr>
      <w:bookmarkStart w:id="6" w:name="O_829398"/>
      <w:bookmarkEnd w:id="6"/>
      <w:r w:rsidRPr="00267E5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67E5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Performance criteria describe the performance needed to demonstrate achievement of the element. Where bold italicised text is used, further information is detailed in the range of conditions.</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1.</w:t>
            </w:r>
          </w:p>
        </w:tc>
        <w:tc>
          <w:tcPr>
            <w:tcW w:w="1962" w:type="dxa"/>
            <w:vMerge w:val="restart"/>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Identify work requirements.</w:t>
            </w: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1.1.</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Site of proposed work at h</w:t>
            </w:r>
            <w:r w:rsidRPr="00267E5B">
              <w:t>eights is identified from relevant information.</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1.2.</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Tasks to be completed are identified from work orders and supervisor instructions.</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1.3.</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Personal protective equipment (PPE) suitable to the job is selected and checked for serviceability.</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1.4.</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 xml:space="preserve">Method of accessing work area is identified according to </w:t>
            </w:r>
            <w:r w:rsidRPr="00267E5B">
              <w:rPr>
                <w:rStyle w:val="BoldandItalics"/>
              </w:rPr>
              <w:t xml:space="preserve">safe work method statement </w:t>
            </w:r>
            <w:r w:rsidRPr="00267E5B">
              <w:t>(SWMS).</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1.5.</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Safe work methods for moving tools, equipment and materials to work area are identified to minimise risks.</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1.6.</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Verbal and non-verbal communication signals are confirmed with team members, supervisor and other personnel working on site, as required.</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 xml:space="preserve">2. </w:t>
            </w:r>
          </w:p>
        </w:tc>
        <w:tc>
          <w:tcPr>
            <w:tcW w:w="1962"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Access work area.</w:t>
            </w: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2.1.</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 xml:space="preserve">Work site is inspected and conditions and </w:t>
            </w:r>
            <w:r w:rsidRPr="00267E5B">
              <w:rPr>
                <w:rStyle w:val="BoldandItalics"/>
              </w:rPr>
              <w:t>hazards</w:t>
            </w:r>
            <w:r w:rsidRPr="00267E5B">
              <w:t xml:space="preserve"> are assessed and reported, as requi</w:t>
            </w:r>
            <w:r w:rsidRPr="00267E5B">
              <w:t>red, and risk controls selected according to SWMS.</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7E5B" w:rsidP="00267E5B">
            <w:pPr>
              <w:pStyle w:val="BodyText"/>
            </w:pPr>
            <w:r w:rsidRPr="00267E5B">
              <w:t>2.2.</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rPr>
                <w:rStyle w:val="BoldandItalics"/>
              </w:rPr>
              <w:t>Safety of scaffolding</w:t>
            </w:r>
            <w:r w:rsidRPr="00267E5B">
              <w:t xml:space="preserve"> is checked and faults are reported to relevant personnel.</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2.3.</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Arrangements are made to install required access equipment according to SWMS.</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2.4.</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Access equipment is inspected for defects and issues are reported and rectified according to health and safety requirements.</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2.5.</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Safe work methods are used to access work area and to move tools, equipment and materials to required locations on the work</w:t>
            </w:r>
            <w:r w:rsidRPr="00267E5B">
              <w:t xml:space="preserve"> site. </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2.6.</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Tools and materials are placed to eliminate or reduce the risk of items falling.</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3.</w:t>
            </w:r>
          </w:p>
        </w:tc>
        <w:tc>
          <w:tcPr>
            <w:tcW w:w="1962" w:type="dxa"/>
            <w:vMerge w:val="restart"/>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Conduct work tasks.</w:t>
            </w: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3.1.</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Work is conducted following workplace-approved procedures and SWMS.</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3.2.</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 xml:space="preserve">Communication with team members and other site personnel is maintained as required to progress work tasks according to required timelines. </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3.3.</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Fall protection equipment is kept in place and adjusted to cater for movement during work.</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3.4.</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Scaffold components and fall barriers are kept in place during work.</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4.</w:t>
            </w:r>
          </w:p>
        </w:tc>
        <w:tc>
          <w:tcPr>
            <w:tcW w:w="1962"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Finalise work processes.</w:t>
            </w: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4.1.</w:t>
            </w:r>
          </w:p>
        </w:tc>
        <w:tc>
          <w:tcPr>
            <w:tcW w:w="561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Egress from work area is completed following SWMS and work site supervisor approved methods for moving self, tools and materials to ground level.</w:t>
            </w:r>
          </w:p>
        </w:tc>
      </w:tr>
      <w:tr w:rsidTr="00267E5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4.2.</w:t>
            </w:r>
          </w:p>
        </w:tc>
        <w:tc>
          <w:tcPr>
            <w:tcW w:w="5610" w:type="dxa"/>
            <w:tcBorders>
              <w:top w:val="nil"/>
              <w:left w:val="nil"/>
              <w:bottom w:val="nil"/>
              <w:right w:val="nil"/>
            </w:tcBorders>
            <w:tcMar>
              <w:top w:w="0" w:type="dxa"/>
              <w:left w:w="62" w:type="dxa"/>
              <w:bottom w:w="0" w:type="dxa"/>
              <w:right w:w="62" w:type="dxa"/>
            </w:tcMar>
          </w:tcPr>
          <w:p w:rsidR="00000000" w:rsidRPr="00267E5B" w:rsidP="00267E5B">
            <w:pPr>
              <w:pStyle w:val="BodyText"/>
            </w:pPr>
            <w:r w:rsidRPr="00267E5B">
              <w:t>Tools, equipment and materials returned to ground level are cleaned, checked, maintained and stored according to manufacturer specifications.</w:t>
            </w:r>
          </w:p>
        </w:tc>
      </w:tr>
    </w:tbl>
    <w:p w:rsidR="00000000" w:rsidRPr="00267E5B" w:rsidP="00267E5B">
      <w:pPr>
        <w:pStyle w:val="BodyText"/>
      </w:pPr>
    </w:p>
    <w:p w:rsidR="00000000" w:rsidRPr="00267E5B" w:rsidP="00267E5B">
      <w:pPr>
        <w:pStyle w:val="AllowPageBreak"/>
      </w:pPr>
    </w:p>
    <w:p w:rsidR="00000000" w:rsidRPr="00267E5B" w:rsidP="00267E5B">
      <w:pPr>
        <w:pStyle w:val="Heading1"/>
      </w:pPr>
      <w:bookmarkStart w:id="7" w:name="O_829397"/>
      <w:bookmarkEnd w:id="7"/>
      <w:r w:rsidRPr="00267E5B">
        <w:t>Foundation Skills</w:t>
      </w:r>
    </w:p>
    <w:tbl>
      <w:tblPr>
        <w:tblW w:w="0" w:type="auto"/>
        <w:tblLayout w:type="fixed"/>
        <w:tblCellMar>
          <w:left w:w="62" w:type="dxa"/>
          <w:right w:w="62" w:type="dxa"/>
        </w:tblCellMar>
        <w:tblLook w:val="0000"/>
      </w:tblPr>
      <w:tblGrid>
        <w:gridCol w:w="2760"/>
        <w:gridCol w:w="6312"/>
      </w:tblGrid>
      <w:tr w:rsidTr="00267E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 xml:space="preserve">This section describes the language, literacy, numeracy and employment </w:t>
            </w:r>
            <w:r w:rsidRPr="00267E5B">
              <w:t>skills essential to performance in this unit but not explicit in the performance criteria.</w:t>
            </w:r>
          </w:p>
        </w:tc>
      </w:tr>
      <w:tr w:rsidTr="00267E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67E5B" w:rsidP="00267E5B">
            <w:pPr>
              <w:pStyle w:val="BodyText"/>
            </w:pPr>
            <w:r w:rsidRPr="00267E5B">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rPr>
                <w:rStyle w:val="SpecialBold"/>
              </w:rPr>
              <w:t>Performance feature</w:t>
            </w:r>
          </w:p>
        </w:tc>
      </w:tr>
      <w:tr w:rsidTr="00267E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Numeracy skills to:</w:t>
            </w:r>
          </w:p>
        </w:tc>
        <w:tc>
          <w:tcPr>
            <w:tcW w:w="6312" w:type="dxa"/>
            <w:tcBorders>
              <w:top w:val="nil"/>
              <w:left w:val="nil"/>
              <w:bottom w:val="nil"/>
              <w:right w:val="nil"/>
            </w:tcBorders>
            <w:tcMar>
              <w:top w:w="0" w:type="dxa"/>
              <w:left w:w="62" w:type="dxa"/>
              <w:bottom w:w="0" w:type="dxa"/>
              <w:right w:w="62" w:type="dxa"/>
            </w:tcMar>
          </w:tcPr>
          <w:p w:rsidR="00000000" w:rsidRPr="00267E5B" w:rsidP="00267E5B">
            <w:pPr>
              <w:pStyle w:val="ListBullet"/>
            </w:pPr>
            <w:r w:rsidRPr="00267E5B">
              <w:t>perform measurements relating to checking safety of scaffolding.</w:t>
            </w:r>
          </w:p>
          <w:p w:rsidR="00000000" w:rsidP="00267E5B">
            <w:pPr>
              <w:pStyle w:val="BodyText"/>
              <w:rPr>
                <w:lang w:val="en-NZ"/>
              </w:rPr>
            </w:pPr>
          </w:p>
        </w:tc>
      </w:tr>
      <w:tr w:rsidTr="00267E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267E5B" w:rsidP="00267E5B">
            <w:pPr>
              <w:pStyle w:val="ListBullet"/>
            </w:pPr>
            <w:r w:rsidRPr="00267E5B">
              <w:t>report faults in scaffolding construction or materials</w:t>
            </w:r>
          </w:p>
          <w:p w:rsidR="00000000" w:rsidRPr="00267E5B" w:rsidP="00267E5B">
            <w:pPr>
              <w:pStyle w:val="ListBullet"/>
            </w:pPr>
            <w:r w:rsidRPr="00267E5B">
              <w:t>report non-routine hazards to a supervisor.</w:t>
            </w:r>
          </w:p>
          <w:p w:rsidR="00000000" w:rsidP="00267E5B">
            <w:pPr>
              <w:pStyle w:val="BodyText"/>
              <w:rPr>
                <w:lang w:val="en-NZ"/>
              </w:rPr>
            </w:pPr>
          </w:p>
        </w:tc>
      </w:tr>
      <w:tr w:rsidTr="00267E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Reading skills to:</w:t>
            </w:r>
          </w:p>
        </w:tc>
        <w:tc>
          <w:tcPr>
            <w:tcW w:w="6312" w:type="dxa"/>
            <w:tcBorders>
              <w:top w:val="nil"/>
              <w:left w:val="nil"/>
              <w:bottom w:val="nil"/>
              <w:right w:val="nil"/>
            </w:tcBorders>
            <w:tcMar>
              <w:top w:w="0" w:type="dxa"/>
              <w:left w:w="62" w:type="dxa"/>
              <w:bottom w:w="0" w:type="dxa"/>
              <w:right w:w="62" w:type="dxa"/>
            </w:tcMar>
          </w:tcPr>
          <w:p w:rsidR="00000000" w:rsidRPr="00267E5B" w:rsidP="00267E5B">
            <w:pPr>
              <w:pStyle w:val="ListBullet"/>
            </w:pPr>
            <w:r w:rsidRPr="00267E5B">
              <w:t>interpret safe work methods and risk control strategies in the SWMS relating to job tasks.</w:t>
            </w:r>
          </w:p>
          <w:p w:rsidR="00000000" w:rsidP="00267E5B">
            <w:pPr>
              <w:pStyle w:val="BodyText"/>
              <w:rPr>
                <w:lang w:val="en-NZ"/>
              </w:rPr>
            </w:pPr>
          </w:p>
        </w:tc>
      </w:tr>
      <w:tr w:rsidTr="00267E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Planning and organising skills to:</w:t>
            </w:r>
          </w:p>
        </w:tc>
        <w:tc>
          <w:tcPr>
            <w:tcW w:w="6312" w:type="dxa"/>
            <w:tcBorders>
              <w:top w:val="nil"/>
              <w:left w:val="nil"/>
              <w:bottom w:val="nil"/>
              <w:right w:val="nil"/>
            </w:tcBorders>
            <w:tcMar>
              <w:top w:w="0" w:type="dxa"/>
              <w:left w:w="62" w:type="dxa"/>
              <w:bottom w:w="0" w:type="dxa"/>
              <w:right w:w="62" w:type="dxa"/>
            </w:tcMar>
          </w:tcPr>
          <w:p w:rsidR="00000000" w:rsidRPr="00267E5B" w:rsidP="00267E5B">
            <w:pPr>
              <w:pStyle w:val="ListBullet"/>
            </w:pPr>
            <w:r w:rsidRPr="00267E5B">
              <w:t>plan a</w:t>
            </w:r>
            <w:r w:rsidRPr="00267E5B">
              <w:t>nd schedule work in a logical sequence.</w:t>
            </w:r>
          </w:p>
          <w:p w:rsidR="00000000" w:rsidP="00267E5B">
            <w:pPr>
              <w:pStyle w:val="BodyText"/>
              <w:rPr>
                <w:lang w:val="en-NZ"/>
              </w:rPr>
            </w:pPr>
          </w:p>
        </w:tc>
      </w:tr>
      <w:tr w:rsidTr="00267E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Initiative and enterprise skills to:</w:t>
            </w:r>
          </w:p>
        </w:tc>
        <w:tc>
          <w:tcPr>
            <w:tcW w:w="6312" w:type="dxa"/>
            <w:tcBorders>
              <w:top w:val="nil"/>
              <w:left w:val="nil"/>
              <w:bottom w:val="nil"/>
              <w:right w:val="nil"/>
            </w:tcBorders>
            <w:tcMar>
              <w:top w:w="0" w:type="dxa"/>
              <w:left w:w="62" w:type="dxa"/>
              <w:bottom w:w="0" w:type="dxa"/>
              <w:right w:w="62" w:type="dxa"/>
            </w:tcMar>
          </w:tcPr>
          <w:p w:rsidR="00000000" w:rsidRPr="00267E5B" w:rsidP="00267E5B">
            <w:pPr>
              <w:pStyle w:val="ListBullet"/>
            </w:pPr>
            <w:r w:rsidRPr="00267E5B">
              <w:t>identify standard controls for routine hazards.</w:t>
            </w:r>
          </w:p>
          <w:p w:rsidR="00000000" w:rsidRPr="00267E5B" w:rsidP="00267E5B">
            <w:pPr>
              <w:pStyle w:val="BodyText"/>
            </w:pPr>
          </w:p>
        </w:tc>
      </w:tr>
    </w:tbl>
    <w:p w:rsidR="00000000" w:rsidRPr="00267E5B" w:rsidP="00267E5B">
      <w:pPr>
        <w:pStyle w:val="BodyText"/>
      </w:pPr>
    </w:p>
    <w:p w:rsidR="00000000" w:rsidRPr="00267E5B" w:rsidP="00267E5B">
      <w:pPr>
        <w:pStyle w:val="AllowPageBreak"/>
      </w:pPr>
    </w:p>
    <w:p w:rsidR="00000000" w:rsidRPr="00267E5B" w:rsidP="00267E5B">
      <w:pPr>
        <w:pStyle w:val="Heading1"/>
      </w:pPr>
      <w:bookmarkStart w:id="8" w:name="O_829396"/>
      <w:bookmarkEnd w:id="8"/>
      <w:r w:rsidRPr="00267E5B">
        <w:t>Range of Conditions</w:t>
      </w:r>
    </w:p>
    <w:tbl>
      <w:tblPr>
        <w:tblW w:w="0" w:type="auto"/>
        <w:tblLayout w:type="fixed"/>
        <w:tblCellMar>
          <w:left w:w="62" w:type="dxa"/>
          <w:right w:w="62" w:type="dxa"/>
        </w:tblCellMar>
        <w:tblLook w:val="0000"/>
      </w:tblPr>
      <w:tblGrid>
        <w:gridCol w:w="2364"/>
        <w:gridCol w:w="6708"/>
      </w:tblGrid>
      <w:tr w:rsidTr="00267E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t>This sec</w:t>
            </w:r>
            <w:r w:rsidRPr="00267E5B">
              <w:t>tion specifies work environments and conditions that may affect performance. Essential operating conditions that may be present (depending on the work situation, needs of the candidate, accessibility of the item, and local industry and regional contexts) a</w:t>
            </w:r>
            <w:r w:rsidRPr="00267E5B">
              <w:t>re included. Bold italicised wording, if used in the performance criteria, is detailed below.</w:t>
            </w:r>
          </w:p>
        </w:tc>
      </w:tr>
      <w:tr w:rsidTr="00267E5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rPr>
                <w:rStyle w:val="BoldandItalics"/>
              </w:rPr>
              <w:t>Safe work method statement</w:t>
            </w:r>
            <w:r w:rsidRPr="00267E5B">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267E5B" w:rsidP="00267E5B">
            <w:pPr>
              <w:pStyle w:val="ListBullet"/>
            </w:pPr>
            <w:r w:rsidRPr="00267E5B">
              <w:t>establishing exclusion areas using signage and barricades</w:t>
            </w:r>
          </w:p>
          <w:p w:rsidR="00000000" w:rsidRPr="00267E5B" w:rsidP="00267E5B">
            <w:pPr>
              <w:pStyle w:val="ListBullet"/>
            </w:pPr>
            <w:r w:rsidRPr="00267E5B">
              <w:t>identifying hazards and assessing risks associated with work site and job tasks</w:t>
            </w:r>
          </w:p>
          <w:p w:rsidR="00000000" w:rsidRPr="00267E5B" w:rsidP="00267E5B">
            <w:pPr>
              <w:pStyle w:val="ListBullet"/>
            </w:pPr>
            <w:r w:rsidRPr="00267E5B">
              <w:t>health and safety and environmental requirements mandated by regulatory authorities, work site safety plan, and workplace procedures</w:t>
            </w:r>
          </w:p>
          <w:p w:rsidR="00000000" w:rsidRPr="00267E5B" w:rsidP="00267E5B">
            <w:pPr>
              <w:pStyle w:val="ListBullet"/>
            </w:pPr>
            <w:r w:rsidRPr="00267E5B">
              <w:t>identifying risk control measures to be imp</w:t>
            </w:r>
            <w:r w:rsidRPr="00267E5B">
              <w:t>lemented for job tasks</w:t>
            </w:r>
          </w:p>
          <w:p w:rsidR="00000000" w:rsidRPr="00267E5B" w:rsidP="00267E5B">
            <w:pPr>
              <w:pStyle w:val="ListBullet"/>
            </w:pPr>
            <w:r w:rsidRPr="00267E5B">
              <w:t>safe operating procedures for:</w:t>
            </w:r>
          </w:p>
          <w:p w:rsidR="00000000" w:rsidRPr="00267E5B" w:rsidP="00267E5B">
            <w:pPr>
              <w:pStyle w:val="ListBullet2"/>
            </w:pPr>
            <w:r w:rsidRPr="00267E5B">
              <w:t>accessing, moving within, and leaving work site</w:t>
            </w:r>
          </w:p>
          <w:p w:rsidR="00000000" w:rsidRPr="00267E5B" w:rsidP="00267E5B">
            <w:pPr>
              <w:pStyle w:val="ListBullet2"/>
            </w:pPr>
            <w:r w:rsidRPr="00267E5B">
              <w:t>moving and placing tools, equipment and materials</w:t>
            </w:r>
          </w:p>
          <w:p w:rsidR="00000000" w:rsidRPr="00267E5B" w:rsidP="00267E5B">
            <w:pPr>
              <w:pStyle w:val="ListBullet"/>
            </w:pPr>
            <w:r w:rsidRPr="00267E5B">
              <w:t xml:space="preserve">using tools and equipment, including PPE, prescribed by legislation, regulations, and work site </w:t>
            </w:r>
            <w:r w:rsidRPr="00267E5B">
              <w:t>and workplace requirements</w:t>
            </w:r>
          </w:p>
          <w:p w:rsidR="00000000" w:rsidRPr="00267E5B" w:rsidP="00267E5B">
            <w:pPr>
              <w:pStyle w:val="ListBullet"/>
            </w:pPr>
            <w:r w:rsidRPr="00267E5B">
              <w:t>using tools and equipment at heights.</w:t>
            </w:r>
          </w:p>
          <w:p w:rsidR="00000000" w:rsidP="00267E5B">
            <w:pPr>
              <w:pStyle w:val="BodyText"/>
              <w:rPr>
                <w:lang w:val="en-NZ"/>
              </w:rPr>
            </w:pPr>
          </w:p>
        </w:tc>
      </w:tr>
      <w:tr w:rsidTr="00267E5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rPr>
                <w:rStyle w:val="BoldandItalics"/>
              </w:rPr>
              <w:t>Hazards</w:t>
            </w:r>
            <w:r w:rsidRPr="00267E5B">
              <w:t xml:space="preserve"> to be considered must involve:</w:t>
            </w:r>
          </w:p>
        </w:tc>
        <w:tc>
          <w:tcPr>
            <w:tcW w:w="6708" w:type="dxa"/>
            <w:tcBorders>
              <w:top w:val="nil"/>
              <w:left w:val="nil"/>
              <w:bottom w:val="nil"/>
              <w:right w:val="nil"/>
            </w:tcBorders>
            <w:tcMar>
              <w:top w:w="0" w:type="dxa"/>
              <w:left w:w="62" w:type="dxa"/>
              <w:bottom w:w="0" w:type="dxa"/>
              <w:right w:w="62" w:type="dxa"/>
            </w:tcMar>
          </w:tcPr>
          <w:p w:rsidR="00000000" w:rsidRPr="00267E5B" w:rsidP="00267E5B">
            <w:pPr>
              <w:pStyle w:val="ListBullet"/>
            </w:pPr>
            <w:r w:rsidRPr="00267E5B">
              <w:t>air temperature</w:t>
            </w:r>
          </w:p>
          <w:p w:rsidR="00000000" w:rsidRPr="00267E5B" w:rsidP="00267E5B">
            <w:pPr>
              <w:pStyle w:val="ListBullet"/>
            </w:pPr>
            <w:r w:rsidRPr="00267E5B">
              <w:t>construction activity involving other workers and contractors</w:t>
            </w:r>
          </w:p>
          <w:p w:rsidR="00000000" w:rsidRPr="00267E5B" w:rsidP="00267E5B">
            <w:pPr>
              <w:pStyle w:val="ListBullet"/>
            </w:pPr>
            <w:r w:rsidRPr="00267E5B">
              <w:t>dust and vapours</w:t>
            </w:r>
          </w:p>
          <w:p w:rsidR="00000000" w:rsidRPr="00267E5B" w:rsidP="00267E5B">
            <w:pPr>
              <w:pStyle w:val="ListBullet"/>
            </w:pPr>
            <w:r w:rsidRPr="00267E5B">
              <w:t>electrical equipment</w:t>
            </w:r>
          </w:p>
          <w:p w:rsidR="00000000" w:rsidRPr="00267E5B" w:rsidP="00267E5B">
            <w:pPr>
              <w:pStyle w:val="ListBullet"/>
            </w:pPr>
            <w:r w:rsidRPr="00267E5B">
              <w:t>energy sources</w:t>
            </w:r>
          </w:p>
          <w:p w:rsidR="00000000" w:rsidRPr="00267E5B" w:rsidP="00267E5B">
            <w:pPr>
              <w:pStyle w:val="ListBullet"/>
            </w:pPr>
            <w:r w:rsidRPr="00267E5B">
              <w:t>equipment and materials</w:t>
            </w:r>
          </w:p>
          <w:p w:rsidR="00000000" w:rsidRPr="00267E5B" w:rsidP="00267E5B">
            <w:pPr>
              <w:pStyle w:val="ListBullet"/>
            </w:pPr>
            <w:r w:rsidRPr="00267E5B">
              <w:t>hazardous materials</w:t>
            </w:r>
          </w:p>
          <w:p w:rsidR="00000000" w:rsidRPr="00267E5B" w:rsidP="00267E5B">
            <w:pPr>
              <w:pStyle w:val="ListBullet"/>
            </w:pPr>
            <w:r w:rsidRPr="00267E5B">
              <w:t>light</w:t>
            </w:r>
          </w:p>
          <w:p w:rsidR="00000000" w:rsidRPr="00267E5B" w:rsidP="00267E5B">
            <w:pPr>
              <w:pStyle w:val="ListBullet"/>
            </w:pPr>
            <w:r w:rsidRPr="00267E5B">
              <w:t>manual handling</w:t>
            </w:r>
          </w:p>
          <w:p w:rsidR="00000000" w:rsidRPr="00267E5B" w:rsidP="00267E5B">
            <w:pPr>
              <w:pStyle w:val="ListBullet"/>
            </w:pPr>
            <w:r w:rsidRPr="00267E5B">
              <w:t>moisture</w:t>
            </w:r>
          </w:p>
          <w:p w:rsidR="00000000" w:rsidRPr="00267E5B" w:rsidP="00267E5B">
            <w:pPr>
              <w:pStyle w:val="ListBullet"/>
            </w:pPr>
            <w:r w:rsidRPr="00267E5B">
              <w:t>noise</w:t>
            </w:r>
          </w:p>
          <w:p w:rsidR="00000000" w:rsidRPr="00267E5B" w:rsidP="00267E5B">
            <w:pPr>
              <w:pStyle w:val="ListBullet"/>
            </w:pPr>
            <w:r w:rsidRPr="00267E5B">
              <w:t>stationary and moving plant</w:t>
            </w:r>
          </w:p>
          <w:p w:rsidR="00000000" w:rsidRPr="00267E5B" w:rsidP="00267E5B">
            <w:pPr>
              <w:pStyle w:val="ListBullet"/>
            </w:pPr>
            <w:r w:rsidRPr="00267E5B">
              <w:t>working at heights.</w:t>
            </w:r>
          </w:p>
          <w:p w:rsidR="00000000" w:rsidP="00267E5B">
            <w:pPr>
              <w:pStyle w:val="BodyText"/>
              <w:rPr>
                <w:lang w:val="en-NZ"/>
              </w:rPr>
            </w:pPr>
          </w:p>
        </w:tc>
      </w:tr>
      <w:tr w:rsidTr="00267E5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7E5B">
            <w:pPr>
              <w:pStyle w:val="BodyText"/>
              <w:rPr>
                <w:lang w:val="en-NZ"/>
              </w:rPr>
            </w:pPr>
            <w:r w:rsidRPr="00267E5B">
              <w:rPr>
                <w:rStyle w:val="BoldandItalics"/>
              </w:rPr>
              <w:t>Safety of scaffolding</w:t>
            </w:r>
            <w:r w:rsidRPr="00267E5B">
              <w:t xml:space="preserve"> must include checking for:</w:t>
            </w:r>
          </w:p>
        </w:tc>
        <w:tc>
          <w:tcPr>
            <w:tcW w:w="6708" w:type="dxa"/>
            <w:tcBorders>
              <w:top w:val="nil"/>
              <w:left w:val="nil"/>
              <w:bottom w:val="nil"/>
              <w:right w:val="nil"/>
            </w:tcBorders>
            <w:tcMar>
              <w:top w:w="0" w:type="dxa"/>
              <w:left w:w="62" w:type="dxa"/>
              <w:bottom w:w="0" w:type="dxa"/>
              <w:right w:w="62" w:type="dxa"/>
            </w:tcMar>
          </w:tcPr>
          <w:p w:rsidR="00000000" w:rsidRPr="00267E5B" w:rsidP="00267E5B">
            <w:pPr>
              <w:pStyle w:val="ListBullet"/>
            </w:pPr>
            <w:r w:rsidRPr="00267E5B">
              <w:t>access gate</w:t>
            </w:r>
          </w:p>
          <w:p w:rsidR="00000000" w:rsidRPr="00267E5B" w:rsidP="00267E5B">
            <w:pPr>
              <w:pStyle w:val="ListBullet"/>
            </w:pPr>
            <w:r w:rsidRPr="00267E5B">
              <w:t>bracing</w:t>
            </w:r>
          </w:p>
          <w:p w:rsidR="00000000" w:rsidRPr="00267E5B" w:rsidP="00267E5B">
            <w:pPr>
              <w:pStyle w:val="ListBullet"/>
            </w:pPr>
            <w:r w:rsidRPr="00267E5B">
              <w:t>condition of scaffold frame and planks</w:t>
            </w:r>
          </w:p>
          <w:p w:rsidR="00000000" w:rsidRPr="00267E5B" w:rsidP="00267E5B">
            <w:pPr>
              <w:pStyle w:val="ListBullet"/>
            </w:pPr>
            <w:r w:rsidRPr="00267E5B">
              <w:t>guard rails</w:t>
            </w:r>
          </w:p>
          <w:p w:rsidR="00000000" w:rsidRPr="00267E5B" w:rsidP="00267E5B">
            <w:pPr>
              <w:pStyle w:val="ListBullet"/>
            </w:pPr>
            <w:r w:rsidRPr="00267E5B">
              <w:t>locking pins for castors, if present</w:t>
            </w:r>
          </w:p>
          <w:p w:rsidR="00000000" w:rsidRPr="00267E5B" w:rsidP="00267E5B">
            <w:pPr>
              <w:pStyle w:val="ListBullet"/>
            </w:pPr>
            <w:r w:rsidRPr="00267E5B">
              <w:t>mid-rails</w:t>
            </w:r>
          </w:p>
          <w:p w:rsidR="00000000" w:rsidRPr="00267E5B" w:rsidP="00267E5B">
            <w:pPr>
              <w:pStyle w:val="ListBullet"/>
            </w:pPr>
            <w:r w:rsidRPr="00267E5B">
              <w:t>sheeting, if required</w:t>
            </w:r>
          </w:p>
          <w:p w:rsidR="00000000" w:rsidRPr="00267E5B" w:rsidP="00267E5B">
            <w:pPr>
              <w:pStyle w:val="ListBullet"/>
            </w:pPr>
            <w:r w:rsidRPr="00267E5B">
              <w:t>toe boards.</w:t>
            </w:r>
          </w:p>
          <w:p w:rsidR="00000000" w:rsidRPr="00267E5B" w:rsidP="00267E5B">
            <w:pPr>
              <w:pStyle w:val="BodyText"/>
            </w:pPr>
          </w:p>
        </w:tc>
      </w:tr>
    </w:tbl>
    <w:p w:rsidR="00000000" w:rsidRPr="00267E5B" w:rsidP="00267E5B">
      <w:pPr>
        <w:pStyle w:val="BodyText"/>
      </w:pPr>
    </w:p>
    <w:p w:rsidR="00000000" w:rsidRPr="00267E5B" w:rsidP="00267E5B">
      <w:pPr>
        <w:pStyle w:val="AllowPageBreak"/>
      </w:pPr>
    </w:p>
    <w:p w:rsidR="00000000" w:rsidRPr="00267E5B" w:rsidP="00267E5B">
      <w:pPr>
        <w:pStyle w:val="Heading1"/>
      </w:pPr>
      <w:bookmarkStart w:id="9" w:name="O_829395"/>
      <w:bookmarkEnd w:id="9"/>
      <w:r w:rsidRPr="00267E5B">
        <w:t>Unit Mapping Information</w:t>
      </w:r>
    </w:p>
    <w:p w:rsidR="00000000" w:rsidRPr="00267E5B" w:rsidP="00E52982">
      <w:pPr>
        <w:pStyle w:val="BodyText"/>
      </w:pPr>
      <w:r w:rsidRPr="00267E5B">
        <w:t>No equivalent unit.</w:t>
      </w:r>
    </w:p>
    <w:p w:rsidR="00000000" w:rsidRPr="00267E5B" w:rsidP="00267E5B">
      <w:pPr>
        <w:pStyle w:val="Heading1"/>
      </w:pPr>
      <w:bookmarkStart w:id="10" w:name="O_829388"/>
      <w:bookmarkEnd w:id="10"/>
      <w:r w:rsidRPr="00267E5B">
        <w:t>Links</w:t>
      </w:r>
    </w:p>
    <w:p w:rsidR="00000000" w:rsidRPr="00267E5B" w:rsidP="00E52982">
      <w:pPr>
        <w:pStyle w:val="BodyText"/>
      </w:pPr>
      <w:r w:rsidRPr="00267E5B">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F556C">
        <w:rPr>
          <w:rStyle w:val="Hyperlink"/>
        </w:rPr>
        <w:t>https://vetnet.gov.au/Pages/TrainingDocs.aspx?q=7e15fa6a-68b8-4097-b099-030a5569b1ad</w:t>
      </w:r>
      <w:r>
        <w:fldChar w:fldCharType="end"/>
      </w:r>
    </w:p>
    <w:p w:rsidR="00000000" w:rsidRPr="00267E5B" w:rsidP="00267E5B"/>
    <w:sectPr w:rsidSect="00267E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5B" w:rsidRPr="00E52982" w:rsidP="00E529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82" w:rsidP="00267E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2982" w:rsidP="00267E5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52982" w:rsidP="00267E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7E5B" w:rsidRPr="00E52982" w:rsidP="00E529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82" w:rsidRPr="002D2AF8" w:rsidP="00267E5B">
    <w:pPr>
      <w:pStyle w:val="Header"/>
      <w:framePr w:wrap="around"/>
    </w:pPr>
    <w:r>
      <w:fldChar w:fldCharType="begin"/>
    </w:r>
    <w:r>
      <w:instrText xml:space="preserve"> TITLE   \* MERGEFORMAT </w:instrText>
    </w:r>
    <w:r>
      <w:fldChar w:fldCharType="separate"/>
    </w:r>
    <w:r>
      <w:t>CPCCCM2010 Work safely on scaffolding higher than two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52982" w:rsidP="00267E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DAF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56D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781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E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E5B"/>
    <w:pPr>
      <w:spacing w:before="360" w:after="60"/>
      <w:outlineLvl w:val="0"/>
    </w:pPr>
    <w:rPr>
      <w:sz w:val="32"/>
    </w:rPr>
  </w:style>
  <w:style w:type="paragraph" w:styleId="Heading2">
    <w:name w:val="heading 2"/>
    <w:basedOn w:val="HeadingBase"/>
    <w:next w:val="BodyText"/>
    <w:link w:val="Heading2Char"/>
    <w:qFormat/>
    <w:rsid w:val="00267E5B"/>
    <w:pPr>
      <w:keepLines/>
      <w:spacing w:before="240" w:after="120"/>
      <w:outlineLvl w:val="1"/>
    </w:pPr>
    <w:rPr>
      <w:sz w:val="28"/>
      <w:szCs w:val="40"/>
    </w:rPr>
  </w:style>
  <w:style w:type="paragraph" w:styleId="Heading3">
    <w:name w:val="heading 3"/>
    <w:basedOn w:val="HeadingBase"/>
    <w:next w:val="BodyText"/>
    <w:link w:val="Heading3Char"/>
    <w:qFormat/>
    <w:rsid w:val="00267E5B"/>
    <w:pPr>
      <w:spacing w:before="180" w:after="120"/>
      <w:outlineLvl w:val="2"/>
    </w:pPr>
    <w:rPr>
      <w:spacing w:val="-10"/>
      <w:kern w:val="32"/>
    </w:rPr>
  </w:style>
  <w:style w:type="paragraph" w:styleId="Heading4">
    <w:name w:val="heading 4"/>
    <w:basedOn w:val="HeadingBase"/>
    <w:next w:val="BodyText"/>
    <w:link w:val="Heading4Char"/>
    <w:qFormat/>
    <w:rsid w:val="00267E5B"/>
    <w:pPr>
      <w:spacing w:before="160" w:after="120"/>
      <w:outlineLvl w:val="3"/>
    </w:pPr>
    <w:rPr>
      <w:sz w:val="22"/>
    </w:rPr>
  </w:style>
  <w:style w:type="paragraph" w:styleId="Heading5">
    <w:name w:val="heading 5"/>
    <w:basedOn w:val="HeadingBase"/>
    <w:next w:val="Normal"/>
    <w:link w:val="Heading5Char"/>
    <w:qFormat/>
    <w:rsid w:val="00267E5B"/>
    <w:pPr>
      <w:spacing w:before="80"/>
      <w:outlineLvl w:val="4"/>
    </w:pPr>
    <w:rPr>
      <w:color w:val="918585"/>
      <w:sz w:val="20"/>
    </w:rPr>
  </w:style>
  <w:style w:type="paragraph" w:styleId="Heading6">
    <w:name w:val="heading 6"/>
    <w:basedOn w:val="HeadingBase"/>
    <w:next w:val="Normal"/>
    <w:link w:val="Heading6Char"/>
    <w:qFormat/>
    <w:rsid w:val="00267E5B"/>
    <w:pPr>
      <w:spacing w:before="60"/>
      <w:outlineLvl w:val="5"/>
    </w:pPr>
    <w:rPr>
      <w:color w:val="918585"/>
      <w:sz w:val="20"/>
    </w:rPr>
  </w:style>
  <w:style w:type="paragraph" w:styleId="Heading7">
    <w:name w:val="heading 7"/>
    <w:basedOn w:val="Normal"/>
    <w:next w:val="Normal"/>
    <w:link w:val="Heading7Char"/>
    <w:qFormat/>
    <w:rsid w:val="00267E5B"/>
    <w:pPr>
      <w:ind w:left="720"/>
      <w:outlineLvl w:val="6"/>
    </w:pPr>
    <w:rPr>
      <w:i/>
    </w:rPr>
  </w:style>
  <w:style w:type="paragraph" w:styleId="Heading8">
    <w:name w:val="heading 8"/>
    <w:basedOn w:val="Normal"/>
    <w:next w:val="Normal"/>
    <w:link w:val="Heading8Char"/>
    <w:qFormat/>
    <w:rsid w:val="00267E5B"/>
    <w:pPr>
      <w:ind w:left="720"/>
      <w:outlineLvl w:val="7"/>
    </w:pPr>
    <w:rPr>
      <w:i/>
    </w:rPr>
  </w:style>
  <w:style w:type="paragraph" w:styleId="Heading9">
    <w:name w:val="heading 9"/>
    <w:basedOn w:val="Normal"/>
    <w:next w:val="Normal"/>
    <w:link w:val="Heading9Char"/>
    <w:qFormat/>
    <w:rsid w:val="00267E5B"/>
    <w:pPr>
      <w:ind w:left="720"/>
      <w:outlineLvl w:val="8"/>
    </w:pPr>
    <w:rPr>
      <w:i/>
    </w:rPr>
  </w:style>
  <w:style w:type="character" w:default="1" w:styleId="DefaultParagraphFont">
    <w:name w:val="Default Paragraph Font"/>
    <w:uiPriority w:val="1"/>
    <w:unhideWhenUsed/>
    <w:rsid w:val="00267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E5B"/>
  </w:style>
  <w:style w:type="character" w:customStyle="1" w:styleId="Heading1Char">
    <w:name w:val="Heading 1 Char"/>
    <w:basedOn w:val="DefaultParagraphFont"/>
    <w:link w:val="Heading1"/>
    <w:rsid w:val="00267E5B"/>
    <w:rPr>
      <w:rFonts w:ascii="Times New Roman" w:eastAsia="Times New Roman" w:hAnsi="Times New Roman" w:cs="Times New Roman"/>
      <w:b/>
      <w:sz w:val="32"/>
      <w:szCs w:val="20"/>
      <w:lang w:eastAsia="en-US"/>
    </w:rPr>
  </w:style>
  <w:style w:type="paragraph" w:styleId="BodyText">
    <w:name w:val="Body Text"/>
    <w:basedOn w:val="Normal"/>
    <w:link w:val="BodyTextChar"/>
    <w:rsid w:val="00267E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7E5B"/>
    <w:rPr>
      <w:rFonts w:ascii="Times New Roman" w:eastAsia="Times New Roman" w:hAnsi="Times New Roman" w:cs="Times New Roman"/>
      <w:sz w:val="24"/>
      <w:lang w:eastAsia="en-US"/>
    </w:rPr>
  </w:style>
  <w:style w:type="paragraph" w:styleId="ListBullet">
    <w:name w:val="List Bullet"/>
    <w:basedOn w:val="List"/>
    <w:rsid w:val="00267E5B"/>
    <w:pPr>
      <w:numPr>
        <w:numId w:val="12"/>
      </w:numPr>
      <w:tabs>
        <w:tab w:val="clear" w:pos="340"/>
      </w:tabs>
      <w:spacing w:before="40" w:after="40"/>
    </w:pPr>
  </w:style>
  <w:style w:type="character" w:customStyle="1" w:styleId="SpecialBold">
    <w:name w:val="Special Bold"/>
    <w:basedOn w:val="DefaultParagraphFont"/>
    <w:rsid w:val="00267E5B"/>
    <w:rPr>
      <w:b/>
      <w:spacing w:val="0"/>
    </w:rPr>
  </w:style>
  <w:style w:type="paragraph" w:styleId="ListBullet2">
    <w:name w:val="List Bullet 2"/>
    <w:basedOn w:val="List2"/>
    <w:rsid w:val="00267E5B"/>
    <w:pPr>
      <w:numPr>
        <w:numId w:val="13"/>
      </w:numPr>
      <w:tabs>
        <w:tab w:val="clear" w:pos="680"/>
      </w:tabs>
    </w:pPr>
  </w:style>
  <w:style w:type="paragraph" w:customStyle="1" w:styleId="SuperHeading">
    <w:name w:val="SuperHeading"/>
    <w:basedOn w:val="Normal"/>
    <w:rsid w:val="00267E5B"/>
    <w:pPr>
      <w:spacing w:before="240" w:after="120"/>
      <w:outlineLvl w:val="0"/>
    </w:pPr>
    <w:rPr>
      <w:rFonts w:ascii="Times New Roman" w:hAnsi="Times New Roman"/>
      <w:b/>
      <w:sz w:val="32"/>
    </w:rPr>
  </w:style>
  <w:style w:type="paragraph" w:customStyle="1" w:styleId="AllowPageBreak">
    <w:name w:val="AllowPageBreak"/>
    <w:rsid w:val="00267E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7E5B"/>
    <w:rPr>
      <w:b/>
      <w:i/>
      <w:u w:val="none"/>
    </w:rPr>
  </w:style>
  <w:style w:type="character" w:customStyle="1" w:styleId="Heading2Char">
    <w:name w:val="Heading 2 Char"/>
    <w:basedOn w:val="DefaultParagraphFont"/>
    <w:link w:val="Heading2"/>
    <w:rsid w:val="00267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E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E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E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E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E5B"/>
    <w:rPr>
      <w:rFonts w:ascii="Courier New" w:eastAsia="Times New Roman" w:hAnsi="Courier New" w:cs="Times New Roman"/>
      <w:i/>
      <w:szCs w:val="20"/>
      <w:lang w:eastAsia="en-US"/>
    </w:rPr>
  </w:style>
  <w:style w:type="paragraph" w:customStyle="1" w:styleId="HeadingBase">
    <w:name w:val="Heading Base"/>
    <w:rsid w:val="00267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E5B"/>
    <w:pPr>
      <w:tabs>
        <w:tab w:val="right" w:leader="dot" w:pos="9072"/>
      </w:tabs>
      <w:ind w:left="567"/>
    </w:pPr>
    <w:rPr>
      <w:szCs w:val="22"/>
    </w:rPr>
  </w:style>
  <w:style w:type="paragraph" w:customStyle="1" w:styleId="TOCBase">
    <w:name w:val="TOC Base"/>
    <w:rsid w:val="00267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E5B"/>
    <w:pPr>
      <w:tabs>
        <w:tab w:val="right" w:leader="dot" w:pos="9072"/>
      </w:tabs>
      <w:spacing w:before="40" w:after="40"/>
      <w:ind w:left="284"/>
    </w:pPr>
    <w:rPr>
      <w:rFonts w:ascii="Times New Roman" w:hAnsi="Times New Roman"/>
    </w:rPr>
  </w:style>
  <w:style w:type="paragraph" w:styleId="TOC1">
    <w:name w:val="toc 1"/>
    <w:basedOn w:val="TOCBase"/>
    <w:next w:val="Normal"/>
    <w:rsid w:val="00267E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7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E5B"/>
    <w:rPr>
      <w:rFonts w:ascii="Times New Roman" w:eastAsia="Times New Roman" w:hAnsi="Times New Roman" w:cs="Times New Roman"/>
      <w:sz w:val="16"/>
      <w:lang w:eastAsia="en-US"/>
    </w:rPr>
  </w:style>
  <w:style w:type="paragraph" w:styleId="Title">
    <w:name w:val="Title"/>
    <w:basedOn w:val="HeadingBase"/>
    <w:link w:val="TitleChar"/>
    <w:qFormat/>
    <w:rsid w:val="00267E5B"/>
    <w:pPr>
      <w:spacing w:before="5040"/>
      <w:jc w:val="center"/>
    </w:pPr>
    <w:rPr>
      <w:sz w:val="48"/>
      <w:szCs w:val="72"/>
      <w:lang w:val="en-US"/>
    </w:rPr>
  </w:style>
  <w:style w:type="character" w:customStyle="1" w:styleId="TitleChar">
    <w:name w:val="Title Char"/>
    <w:basedOn w:val="DefaultParagraphFont"/>
    <w:link w:val="Title"/>
    <w:rsid w:val="00267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E5B"/>
    <w:pPr>
      <w:tabs>
        <w:tab w:val="left" w:pos="3600"/>
        <w:tab w:val="left" w:pos="3958"/>
      </w:tabs>
    </w:pPr>
  </w:style>
  <w:style w:type="paragraph" w:styleId="List">
    <w:name w:val="List"/>
    <w:basedOn w:val="BodyText"/>
    <w:next w:val="BodyText"/>
    <w:rsid w:val="00267E5B"/>
    <w:pPr>
      <w:tabs>
        <w:tab w:val="left" w:pos="340"/>
      </w:tabs>
      <w:spacing w:before="60" w:after="60"/>
      <w:ind w:left="340" w:hanging="340"/>
    </w:pPr>
  </w:style>
  <w:style w:type="paragraph" w:customStyle="1" w:styleId="Note">
    <w:name w:val="Note"/>
    <w:basedOn w:val="BodyText"/>
    <w:rsid w:val="00267E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E5B"/>
    <w:pPr>
      <w:framePr w:wrap="auto" w:hAnchor="text" w:y="6049"/>
    </w:pPr>
    <w:rPr>
      <w:color w:val="000000"/>
      <w:sz w:val="40"/>
    </w:rPr>
  </w:style>
  <w:style w:type="paragraph" w:customStyle="1" w:styleId="TOCTitle">
    <w:name w:val="TOCTitle"/>
    <w:basedOn w:val="Heading1"/>
    <w:rsid w:val="00267E5B"/>
    <w:pPr>
      <w:spacing w:after="240"/>
      <w:jc w:val="center"/>
      <w:outlineLvl w:val="9"/>
    </w:pPr>
    <w:rPr>
      <w:caps/>
    </w:rPr>
  </w:style>
  <w:style w:type="paragraph" w:customStyle="1" w:styleId="Version">
    <w:name w:val="Version"/>
    <w:rsid w:val="00267E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7E5B"/>
    <w:pPr>
      <w:keepNext w:val="0"/>
      <w:tabs>
        <w:tab w:val="right" w:pos="4176"/>
      </w:tabs>
      <w:ind w:left="198" w:hanging="198"/>
    </w:pPr>
    <w:rPr>
      <w:rFonts w:ascii="Garamond" w:hAnsi="Garamond"/>
    </w:rPr>
  </w:style>
  <w:style w:type="paragraph" w:styleId="IndexHeading">
    <w:name w:val="index heading"/>
    <w:basedOn w:val="Normal"/>
    <w:next w:val="Index1"/>
    <w:semiHidden/>
    <w:rsid w:val="00267E5B"/>
    <w:pPr>
      <w:spacing w:before="120" w:after="120"/>
    </w:pPr>
    <w:rPr>
      <w:rFonts w:ascii="Arial" w:hAnsi="Arial"/>
      <w:b/>
      <w:color w:val="918585"/>
      <w:sz w:val="24"/>
    </w:rPr>
  </w:style>
  <w:style w:type="paragraph" w:styleId="Header">
    <w:name w:val="header"/>
    <w:basedOn w:val="Normal"/>
    <w:link w:val="HeaderChar"/>
    <w:rsid w:val="00267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E5B"/>
    <w:rPr>
      <w:rFonts w:ascii="Times New Roman" w:eastAsia="Times New Roman" w:hAnsi="Times New Roman" w:cs="Times New Roman"/>
      <w:sz w:val="16"/>
      <w:szCs w:val="20"/>
      <w:lang w:val="en-GB" w:eastAsia="en-US"/>
    </w:rPr>
  </w:style>
  <w:style w:type="paragraph" w:customStyle="1" w:styleId="Chapter">
    <w:name w:val="Chapter"/>
    <w:basedOn w:val="Normal"/>
    <w:rsid w:val="00267E5B"/>
    <w:pPr>
      <w:spacing w:before="240"/>
    </w:pPr>
    <w:rPr>
      <w:rFonts w:ascii="Times New Roman" w:hAnsi="Times New Roman"/>
      <w:smallCaps/>
      <w:spacing w:val="80"/>
      <w:sz w:val="28"/>
    </w:rPr>
  </w:style>
  <w:style w:type="paragraph" w:customStyle="1" w:styleId="InChapter">
    <w:name w:val="InChapter"/>
    <w:basedOn w:val="Heading3"/>
    <w:rsid w:val="00267E5B"/>
    <w:pPr>
      <w:spacing w:after="240"/>
      <w:outlineLvl w:val="9"/>
    </w:pPr>
    <w:rPr>
      <w:noProof/>
    </w:rPr>
  </w:style>
  <w:style w:type="paragraph" w:styleId="Index2">
    <w:name w:val="index 2"/>
    <w:basedOn w:val="Normal"/>
    <w:next w:val="Normal"/>
    <w:semiHidden/>
    <w:rsid w:val="00267E5B"/>
    <w:pPr>
      <w:tabs>
        <w:tab w:val="right" w:pos="4176"/>
      </w:tabs>
      <w:ind w:left="568" w:hanging="284"/>
    </w:pPr>
    <w:rPr>
      <w:rFonts w:ascii="Garamond" w:hAnsi="Garamond"/>
    </w:rPr>
  </w:style>
  <w:style w:type="paragraph" w:customStyle="1" w:styleId="Byline">
    <w:name w:val="Byline"/>
    <w:rsid w:val="00267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E5B"/>
    <w:pPr>
      <w:tabs>
        <w:tab w:val="clear" w:pos="3600"/>
        <w:tab w:val="clear" w:pos="3958"/>
      </w:tabs>
      <w:jc w:val="right"/>
    </w:pPr>
  </w:style>
  <w:style w:type="character" w:styleId="Emphasis">
    <w:name w:val="Emphasis"/>
    <w:basedOn w:val="DefaultParagraphFont"/>
    <w:qFormat/>
    <w:rsid w:val="00267E5B"/>
    <w:rPr>
      <w:i/>
    </w:rPr>
  </w:style>
  <w:style w:type="paragraph" w:styleId="Caption">
    <w:name w:val="caption"/>
    <w:basedOn w:val="BodyText"/>
    <w:next w:val="Normal"/>
    <w:qFormat/>
    <w:rsid w:val="00267E5B"/>
    <w:pPr>
      <w:framePr w:w="2268" w:hSpace="181" w:vSpace="181" w:wrap="around" w:vAnchor="text" w:hAnchor="page" w:x="1135" w:y="285" w:anchorLock="1"/>
    </w:pPr>
    <w:rPr>
      <w:i/>
    </w:rPr>
  </w:style>
  <w:style w:type="paragraph" w:customStyle="1" w:styleId="MiniTOCTitle">
    <w:name w:val="MiniTOCTitle"/>
    <w:basedOn w:val="Heading4"/>
    <w:rsid w:val="00267E5B"/>
    <w:pPr>
      <w:spacing w:before="240"/>
      <w:outlineLvl w:val="9"/>
    </w:pPr>
    <w:rPr>
      <w:noProof/>
      <w:sz w:val="24"/>
    </w:rPr>
  </w:style>
  <w:style w:type="paragraph" w:customStyle="1" w:styleId="MiniTOCItem">
    <w:name w:val="MiniTOCItem"/>
    <w:basedOn w:val="ListBullet"/>
    <w:rsid w:val="00267E5B"/>
    <w:pPr>
      <w:numPr>
        <w:numId w:val="0"/>
      </w:numPr>
      <w:tabs>
        <w:tab w:val="right" w:leader="dot" w:pos="6521"/>
      </w:tabs>
      <w:spacing w:before="0" w:after="0"/>
    </w:pPr>
  </w:style>
  <w:style w:type="paragraph" w:customStyle="1" w:styleId="TOFTitle">
    <w:name w:val="TOFTitle"/>
    <w:basedOn w:val="TOCTitle"/>
    <w:rsid w:val="00267E5B"/>
  </w:style>
  <w:style w:type="paragraph" w:styleId="TableofFigures">
    <w:name w:val="table of figures"/>
    <w:basedOn w:val="Normal"/>
    <w:next w:val="Normal"/>
    <w:semiHidden/>
    <w:rsid w:val="00267E5B"/>
    <w:pPr>
      <w:tabs>
        <w:tab w:val="right" w:leader="dot" w:pos="9072"/>
      </w:tabs>
      <w:ind w:left="970" w:hanging="403"/>
    </w:pPr>
    <w:rPr>
      <w:rFonts w:ascii="Times New Roman" w:hAnsi="Times New Roman"/>
      <w:b/>
    </w:rPr>
  </w:style>
  <w:style w:type="paragraph" w:styleId="ListNumber">
    <w:name w:val="List Number"/>
    <w:basedOn w:val="List"/>
    <w:rsid w:val="00267E5B"/>
    <w:pPr>
      <w:numPr>
        <w:numId w:val="15"/>
      </w:numPr>
      <w:tabs>
        <w:tab w:val="clear" w:pos="340"/>
      </w:tabs>
    </w:pPr>
  </w:style>
  <w:style w:type="character" w:customStyle="1" w:styleId="WingdingSymbols">
    <w:name w:val="Wingding Symbols"/>
    <w:rsid w:val="00267E5B"/>
    <w:rPr>
      <w:rFonts w:ascii="Wingdings" w:hAnsi="Wingdings"/>
    </w:rPr>
  </w:style>
  <w:style w:type="paragraph" w:customStyle="1" w:styleId="TableHeading">
    <w:name w:val="Table Heading"/>
    <w:basedOn w:val="HeadingBase"/>
    <w:rsid w:val="00267E5B"/>
    <w:pPr>
      <w:keepLines/>
      <w:pBdr>
        <w:bottom w:val="single" w:sz="6" w:space="1" w:color="918585"/>
      </w:pBdr>
      <w:spacing w:before="240"/>
    </w:pPr>
  </w:style>
  <w:style w:type="character" w:customStyle="1" w:styleId="HotSpot">
    <w:name w:val="HotSpot"/>
    <w:rsid w:val="00267E5B"/>
    <w:rPr>
      <w:color w:val="0033CC"/>
      <w:u w:val="none"/>
    </w:rPr>
  </w:style>
  <w:style w:type="paragraph" w:customStyle="1" w:styleId="BodyTextRight">
    <w:name w:val="Body Text Right"/>
    <w:basedOn w:val="BodyText"/>
    <w:rsid w:val="00267E5B"/>
    <w:pPr>
      <w:spacing w:before="0" w:after="0"/>
      <w:jc w:val="right"/>
    </w:pPr>
  </w:style>
  <w:style w:type="paragraph" w:styleId="Index3">
    <w:name w:val="index 3"/>
    <w:basedOn w:val="ListNumber2"/>
    <w:next w:val="Normal"/>
    <w:semiHidden/>
    <w:rsid w:val="00267E5B"/>
    <w:pPr>
      <w:numPr>
        <w:numId w:val="0"/>
      </w:numPr>
      <w:tabs>
        <w:tab w:val="right" w:leader="dot" w:pos="4176"/>
      </w:tabs>
    </w:pPr>
  </w:style>
  <w:style w:type="paragraph" w:styleId="ListNumber2">
    <w:name w:val="List Number 2"/>
    <w:basedOn w:val="List2"/>
    <w:rsid w:val="00267E5B"/>
    <w:pPr>
      <w:numPr>
        <w:numId w:val="10"/>
      </w:numPr>
      <w:tabs>
        <w:tab w:val="clear" w:pos="1060"/>
      </w:tabs>
    </w:pPr>
  </w:style>
  <w:style w:type="paragraph" w:customStyle="1" w:styleId="MarginNote">
    <w:name w:val="Margin Note"/>
    <w:basedOn w:val="BodyText"/>
    <w:rsid w:val="00267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E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E5B"/>
    <w:rPr>
      <w:sz w:val="32"/>
    </w:rPr>
  </w:style>
  <w:style w:type="paragraph" w:customStyle="1" w:styleId="HeadingProcedure">
    <w:name w:val="Heading Procedure"/>
    <w:basedOn w:val="HeadingBase"/>
    <w:next w:val="Normal"/>
    <w:rsid w:val="00267E5B"/>
    <w:pPr>
      <w:tabs>
        <w:tab w:val="left" w:pos="0"/>
      </w:tabs>
      <w:spacing w:before="120" w:after="60"/>
    </w:pPr>
    <w:rPr>
      <w:i/>
      <w:color w:val="918585"/>
      <w:sz w:val="22"/>
    </w:rPr>
  </w:style>
  <w:style w:type="paragraph" w:customStyle="1" w:styleId="TableBodyText">
    <w:name w:val="Table Body Text"/>
    <w:basedOn w:val="BodyText"/>
    <w:rsid w:val="00267E5B"/>
    <w:pPr>
      <w:spacing w:before="60" w:after="60"/>
    </w:pPr>
  </w:style>
  <w:style w:type="paragraph" w:styleId="ListContinue">
    <w:name w:val="List Continue"/>
    <w:basedOn w:val="List"/>
    <w:rsid w:val="00267E5B"/>
    <w:pPr>
      <w:ind w:firstLine="0"/>
    </w:pPr>
  </w:style>
  <w:style w:type="paragraph" w:customStyle="1" w:styleId="ListNote">
    <w:name w:val="List Note"/>
    <w:basedOn w:val="List"/>
    <w:rsid w:val="00267E5B"/>
    <w:pPr>
      <w:pBdr>
        <w:top w:val="single" w:sz="6" w:space="2" w:color="918585"/>
        <w:bottom w:val="single" w:sz="6" w:space="2" w:color="918585"/>
      </w:pBdr>
      <w:tabs>
        <w:tab w:val="left" w:pos="1021"/>
      </w:tabs>
      <w:ind w:firstLine="0"/>
    </w:pPr>
  </w:style>
  <w:style w:type="paragraph" w:customStyle="1" w:styleId="Warning">
    <w:name w:val="Warning"/>
    <w:basedOn w:val="BodyText"/>
    <w:rsid w:val="00267E5B"/>
    <w:pPr>
      <w:shd w:val="clear" w:color="auto" w:fill="D9D9D9"/>
      <w:tabs>
        <w:tab w:val="left" w:pos="992"/>
      </w:tabs>
      <w:ind w:left="119" w:right="119"/>
    </w:pPr>
    <w:rPr>
      <w:sz w:val="20"/>
    </w:rPr>
  </w:style>
  <w:style w:type="paragraph" w:customStyle="1" w:styleId="MarginIcons">
    <w:name w:val="Margin Icons"/>
    <w:basedOn w:val="BodyText"/>
    <w:rsid w:val="00267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E5B"/>
    <w:rPr>
      <w:rFonts w:ascii="Courier New" w:hAnsi="Courier New"/>
    </w:rPr>
  </w:style>
  <w:style w:type="paragraph" w:customStyle="1" w:styleId="NoteBullet">
    <w:name w:val="Note Bullet"/>
    <w:basedOn w:val="Note"/>
    <w:rsid w:val="00267E5B"/>
    <w:pPr>
      <w:tabs>
        <w:tab w:val="clear" w:pos="680"/>
      </w:tabs>
      <w:spacing w:before="60" w:after="60"/>
    </w:pPr>
  </w:style>
  <w:style w:type="paragraph" w:customStyle="1" w:styleId="SubHeading2">
    <w:name w:val="SubHeading2"/>
    <w:basedOn w:val="HeadingBase"/>
    <w:rsid w:val="00267E5B"/>
    <w:pPr>
      <w:spacing w:before="240" w:after="60"/>
    </w:pPr>
    <w:rPr>
      <w:sz w:val="20"/>
    </w:rPr>
  </w:style>
  <w:style w:type="paragraph" w:customStyle="1" w:styleId="SubHeading1">
    <w:name w:val="SubHeading1"/>
    <w:basedOn w:val="HeadingBase"/>
    <w:rsid w:val="00267E5B"/>
    <w:pPr>
      <w:spacing w:before="240" w:after="60"/>
    </w:pPr>
    <w:rPr>
      <w:color w:val="918585"/>
      <w:sz w:val="22"/>
    </w:rPr>
  </w:style>
  <w:style w:type="paragraph" w:customStyle="1" w:styleId="SideHeading">
    <w:name w:val="Side Heading"/>
    <w:basedOn w:val="HeadingBase"/>
    <w:rsid w:val="00267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E5B"/>
    <w:pPr>
      <w:tabs>
        <w:tab w:val="num" w:pos="360"/>
      </w:tabs>
    </w:pPr>
  </w:style>
  <w:style w:type="paragraph" w:styleId="PlainText">
    <w:name w:val="Plain Text"/>
    <w:basedOn w:val="Normal"/>
    <w:link w:val="PlainTextChar"/>
    <w:rsid w:val="00267E5B"/>
    <w:rPr>
      <w:sz w:val="20"/>
    </w:rPr>
  </w:style>
  <w:style w:type="character" w:customStyle="1" w:styleId="PlainTextChar">
    <w:name w:val="Plain Text Char"/>
    <w:basedOn w:val="DefaultParagraphFont"/>
    <w:link w:val="PlainText"/>
    <w:rsid w:val="00267E5B"/>
    <w:rPr>
      <w:rFonts w:ascii="Courier New" w:eastAsia="Times New Roman" w:hAnsi="Courier New" w:cs="Times New Roman"/>
      <w:sz w:val="20"/>
      <w:szCs w:val="20"/>
      <w:lang w:eastAsia="en-US"/>
    </w:rPr>
  </w:style>
  <w:style w:type="character" w:customStyle="1" w:styleId="MenuOption">
    <w:name w:val="Menu Option"/>
    <w:basedOn w:val="DefaultParagraphFont"/>
    <w:rsid w:val="00267E5B"/>
    <w:rPr>
      <w:b/>
      <w:smallCaps/>
    </w:rPr>
  </w:style>
  <w:style w:type="paragraph" w:customStyle="1" w:styleId="TableListNumber">
    <w:name w:val="Table List Number"/>
    <w:basedOn w:val="ListNumber"/>
    <w:rsid w:val="00267E5B"/>
    <w:pPr>
      <w:numPr>
        <w:numId w:val="0"/>
      </w:numPr>
    </w:pPr>
  </w:style>
  <w:style w:type="paragraph" w:styleId="TOC4">
    <w:name w:val="toc 4"/>
    <w:basedOn w:val="TOCBase"/>
    <w:next w:val="Normal"/>
    <w:semiHidden/>
    <w:rsid w:val="00267E5B"/>
    <w:pPr>
      <w:tabs>
        <w:tab w:val="right" w:leader="dot" w:pos="9071"/>
      </w:tabs>
      <w:ind w:left="1701"/>
    </w:pPr>
  </w:style>
  <w:style w:type="paragraph" w:customStyle="1" w:styleId="ListAlpha">
    <w:name w:val="List Alpha"/>
    <w:basedOn w:val="List"/>
    <w:rsid w:val="00267E5B"/>
    <w:pPr>
      <w:numPr>
        <w:numId w:val="9"/>
      </w:numPr>
    </w:pPr>
  </w:style>
  <w:style w:type="paragraph" w:customStyle="1" w:styleId="ListAlpha2">
    <w:name w:val="List Alpha 2"/>
    <w:basedOn w:val="List2"/>
    <w:rsid w:val="00267E5B"/>
    <w:pPr>
      <w:numPr>
        <w:numId w:val="8"/>
      </w:numPr>
    </w:pPr>
  </w:style>
  <w:style w:type="paragraph" w:styleId="List2">
    <w:name w:val="List 2"/>
    <w:basedOn w:val="BodyText"/>
    <w:rsid w:val="00267E5B"/>
    <w:pPr>
      <w:tabs>
        <w:tab w:val="left" w:pos="680"/>
      </w:tabs>
      <w:spacing w:before="60" w:after="60"/>
      <w:ind w:left="680" w:hanging="340"/>
    </w:pPr>
  </w:style>
  <w:style w:type="paragraph" w:styleId="List3">
    <w:name w:val="List 3"/>
    <w:basedOn w:val="BodyText"/>
    <w:rsid w:val="00267E5B"/>
    <w:pPr>
      <w:tabs>
        <w:tab w:val="left" w:pos="1021"/>
      </w:tabs>
      <w:spacing w:before="60" w:after="60"/>
      <w:ind w:left="1020" w:hanging="340"/>
    </w:pPr>
  </w:style>
  <w:style w:type="paragraph" w:styleId="List4">
    <w:name w:val="List 4"/>
    <w:basedOn w:val="BodyText"/>
    <w:rsid w:val="00267E5B"/>
    <w:pPr>
      <w:tabs>
        <w:tab w:val="left" w:pos="1361"/>
      </w:tabs>
      <w:spacing w:before="60" w:after="60"/>
      <w:ind w:left="1361" w:hanging="340"/>
    </w:pPr>
  </w:style>
  <w:style w:type="paragraph" w:styleId="List5">
    <w:name w:val="List 5"/>
    <w:basedOn w:val="BodyText"/>
    <w:rsid w:val="00267E5B"/>
    <w:pPr>
      <w:tabs>
        <w:tab w:val="left" w:pos="1701"/>
      </w:tabs>
      <w:spacing w:before="60" w:after="60"/>
      <w:ind w:left="1701" w:hanging="340"/>
    </w:pPr>
  </w:style>
  <w:style w:type="paragraph" w:styleId="ListBullet3">
    <w:name w:val="List Bullet 3"/>
    <w:basedOn w:val="List3"/>
    <w:rsid w:val="00267E5B"/>
    <w:pPr>
      <w:numPr>
        <w:numId w:val="14"/>
      </w:numPr>
      <w:tabs>
        <w:tab w:val="clear" w:pos="1021"/>
      </w:tabs>
      <w:ind w:left="1037" w:hanging="357"/>
    </w:pPr>
  </w:style>
  <w:style w:type="paragraph" w:styleId="ListBullet4">
    <w:name w:val="List Bullet 4"/>
    <w:basedOn w:val="List4"/>
    <w:rsid w:val="00267E5B"/>
    <w:pPr>
      <w:numPr>
        <w:numId w:val="3"/>
      </w:numPr>
      <w:tabs>
        <w:tab w:val="clear" w:pos="1361"/>
      </w:tabs>
    </w:pPr>
  </w:style>
  <w:style w:type="paragraph" w:styleId="ListBullet5">
    <w:name w:val="List Bullet 5"/>
    <w:basedOn w:val="List5"/>
    <w:rsid w:val="00267E5B"/>
    <w:pPr>
      <w:numPr>
        <w:numId w:val="4"/>
      </w:numPr>
    </w:pPr>
  </w:style>
  <w:style w:type="paragraph" w:styleId="ListContinue2">
    <w:name w:val="List Continue 2"/>
    <w:basedOn w:val="List2"/>
    <w:rsid w:val="00267E5B"/>
    <w:pPr>
      <w:ind w:firstLine="0"/>
    </w:pPr>
  </w:style>
  <w:style w:type="paragraph" w:styleId="ListContinue3">
    <w:name w:val="List Continue 3"/>
    <w:basedOn w:val="List3"/>
    <w:rsid w:val="00267E5B"/>
    <w:pPr>
      <w:ind w:left="1021" w:firstLine="0"/>
    </w:pPr>
  </w:style>
  <w:style w:type="paragraph" w:styleId="ListContinue4">
    <w:name w:val="List Continue 4"/>
    <w:basedOn w:val="List4"/>
    <w:rsid w:val="00267E5B"/>
    <w:pPr>
      <w:ind w:firstLine="0"/>
    </w:pPr>
  </w:style>
  <w:style w:type="paragraph" w:styleId="ListContinue5">
    <w:name w:val="List Continue 5"/>
    <w:basedOn w:val="List5"/>
    <w:rsid w:val="00267E5B"/>
    <w:pPr>
      <w:ind w:firstLine="0"/>
    </w:pPr>
  </w:style>
  <w:style w:type="paragraph" w:styleId="ListNumber3">
    <w:name w:val="List Number 3"/>
    <w:basedOn w:val="List3"/>
    <w:rsid w:val="00267E5B"/>
    <w:pPr>
      <w:numPr>
        <w:numId w:val="5"/>
      </w:numPr>
    </w:pPr>
  </w:style>
  <w:style w:type="paragraph" w:styleId="ListNumber4">
    <w:name w:val="List Number 4"/>
    <w:basedOn w:val="List4"/>
    <w:rsid w:val="00267E5B"/>
    <w:pPr>
      <w:numPr>
        <w:numId w:val="6"/>
      </w:numPr>
    </w:pPr>
  </w:style>
  <w:style w:type="paragraph" w:styleId="ListNumber5">
    <w:name w:val="List Number 5"/>
    <w:basedOn w:val="List5"/>
    <w:rsid w:val="00267E5B"/>
    <w:pPr>
      <w:numPr>
        <w:numId w:val="7"/>
      </w:numPr>
    </w:pPr>
  </w:style>
  <w:style w:type="paragraph" w:styleId="BlockText">
    <w:name w:val="Block Text"/>
    <w:basedOn w:val="Normal"/>
    <w:rsid w:val="00267E5B"/>
    <w:pPr>
      <w:spacing w:after="120"/>
      <w:ind w:left="1440" w:right="1440"/>
    </w:pPr>
  </w:style>
  <w:style w:type="character" w:customStyle="1" w:styleId="Subscript">
    <w:name w:val="Subscript"/>
    <w:basedOn w:val="DefaultParagraphFont"/>
    <w:rsid w:val="00267E5B"/>
    <w:rPr>
      <w:sz w:val="16"/>
      <w:vertAlign w:val="subscript"/>
    </w:rPr>
  </w:style>
  <w:style w:type="character" w:customStyle="1" w:styleId="Superscript">
    <w:name w:val="Superscript"/>
    <w:basedOn w:val="DefaultParagraphFont"/>
    <w:rsid w:val="00267E5B"/>
    <w:rPr>
      <w:sz w:val="16"/>
      <w:vertAlign w:val="superscript"/>
    </w:rPr>
  </w:style>
  <w:style w:type="character" w:customStyle="1" w:styleId="Symbols">
    <w:name w:val="Symbols"/>
    <w:basedOn w:val="DefaultParagraphFont"/>
    <w:rsid w:val="00267E5B"/>
    <w:rPr>
      <w:rFonts w:ascii="Symbol" w:hAnsi="Symbol"/>
    </w:rPr>
  </w:style>
  <w:style w:type="character" w:customStyle="1" w:styleId="MenuOptions">
    <w:name w:val="Menu Options"/>
    <w:basedOn w:val="DefaultParagraphFont"/>
    <w:rsid w:val="00267E5B"/>
    <w:rPr>
      <w:rFonts w:ascii="Arial Narrow" w:hAnsi="Arial Narrow"/>
      <w:smallCaps/>
    </w:rPr>
  </w:style>
  <w:style w:type="character" w:customStyle="1" w:styleId="Buttons">
    <w:name w:val="Buttons"/>
    <w:basedOn w:val="DefaultParagraphFont"/>
    <w:rsid w:val="00267E5B"/>
    <w:rPr>
      <w:b/>
    </w:rPr>
  </w:style>
  <w:style w:type="character" w:customStyle="1" w:styleId="Underlined">
    <w:name w:val="Underlined"/>
    <w:basedOn w:val="DefaultParagraphFont"/>
    <w:rsid w:val="00267E5B"/>
    <w:rPr>
      <w:u w:val="single"/>
    </w:rPr>
  </w:style>
  <w:style w:type="paragraph" w:customStyle="1" w:styleId="TableBodyTextRight">
    <w:name w:val="Table Body Text Right"/>
    <w:basedOn w:val="TableBodyText"/>
    <w:rsid w:val="00267E5B"/>
    <w:pPr>
      <w:widowControl w:val="0"/>
      <w:autoSpaceDE w:val="0"/>
      <w:autoSpaceDN w:val="0"/>
      <w:adjustRightInd w:val="0"/>
      <w:jc w:val="right"/>
    </w:pPr>
    <w:rPr>
      <w:rFonts w:cs="Arial"/>
      <w:szCs w:val="18"/>
    </w:rPr>
  </w:style>
  <w:style w:type="paragraph" w:customStyle="1" w:styleId="CopyrightText">
    <w:name w:val="Copyright Text"/>
    <w:basedOn w:val="BodyText"/>
    <w:rsid w:val="00267E5B"/>
    <w:rPr>
      <w:sz w:val="18"/>
    </w:rPr>
  </w:style>
  <w:style w:type="paragraph" w:customStyle="1" w:styleId="BodySmallRight">
    <w:name w:val="Body Small Right"/>
    <w:basedOn w:val="BodyTextRight"/>
    <w:rsid w:val="00267E5B"/>
    <w:rPr>
      <w:sz w:val="18"/>
      <w:szCs w:val="18"/>
    </w:rPr>
  </w:style>
  <w:style w:type="paragraph" w:customStyle="1" w:styleId="MarginEdition">
    <w:name w:val="Margin Edition"/>
    <w:basedOn w:val="MarginNote"/>
    <w:rsid w:val="00267E5B"/>
    <w:pPr>
      <w:spacing w:before="0" w:after="0"/>
    </w:pPr>
    <w:rPr>
      <w:rFonts w:ascii="Times New Roman" w:hAnsi="Times New Roman"/>
      <w:color w:val="999999"/>
    </w:rPr>
  </w:style>
  <w:style w:type="paragraph" w:customStyle="1" w:styleId="Spacer">
    <w:name w:val="Spacer"/>
    <w:basedOn w:val="Normal"/>
    <w:rsid w:val="00267E5B"/>
    <w:rPr>
      <w:sz w:val="2"/>
      <w:szCs w:val="2"/>
    </w:rPr>
  </w:style>
  <w:style w:type="character" w:customStyle="1" w:styleId="Small">
    <w:name w:val="Small"/>
    <w:basedOn w:val="DefaultParagraphFont"/>
    <w:rsid w:val="00267E5B"/>
    <w:rPr>
      <w:sz w:val="16"/>
    </w:rPr>
  </w:style>
  <w:style w:type="paragraph" w:customStyle="1" w:styleId="WideTable">
    <w:name w:val="Wide Table"/>
    <w:basedOn w:val="Normal"/>
    <w:rsid w:val="00267E5B"/>
    <w:pPr>
      <w:ind w:left="-1418"/>
    </w:pPr>
    <w:rPr>
      <w:sz w:val="2"/>
      <w:szCs w:val="2"/>
    </w:rPr>
  </w:style>
  <w:style w:type="character" w:styleId="PageNumber">
    <w:name w:val="page number"/>
    <w:basedOn w:val="DefaultParagraphFont"/>
    <w:rsid w:val="00267E5B"/>
  </w:style>
  <w:style w:type="paragraph" w:styleId="Quote">
    <w:name w:val="Quote"/>
    <w:basedOn w:val="Heading1"/>
    <w:link w:val="QuoteChar"/>
    <w:qFormat/>
    <w:rsid w:val="00267E5B"/>
    <w:rPr>
      <w:b w:val="0"/>
      <w:sz w:val="72"/>
      <w:szCs w:val="72"/>
      <w:lang w:val="en-NZ"/>
    </w:rPr>
  </w:style>
  <w:style w:type="character" w:customStyle="1" w:styleId="QuoteChar">
    <w:name w:val="Quote Char"/>
    <w:basedOn w:val="DefaultParagraphFont"/>
    <w:link w:val="Quote"/>
    <w:rsid w:val="00267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E5B"/>
    <w:pPr>
      <w:pageBreakBefore/>
    </w:pPr>
  </w:style>
  <w:style w:type="paragraph" w:customStyle="1" w:styleId="Border">
    <w:name w:val="Border"/>
    <w:basedOn w:val="Normal"/>
    <w:qFormat/>
    <w:rsid w:val="00267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E5B"/>
    <w:rPr>
      <w:b/>
      <w:bCs/>
      <w:i/>
      <w:iCs/>
      <w:color w:val="auto"/>
    </w:rPr>
  </w:style>
  <w:style w:type="paragraph" w:styleId="IntenseQuote">
    <w:name w:val="Intense Quote"/>
    <w:basedOn w:val="Normal"/>
    <w:next w:val="Normal"/>
    <w:link w:val="IntenseQuoteChar"/>
    <w:uiPriority w:val="30"/>
    <w:qFormat/>
    <w:rsid w:val="00267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E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E5B"/>
    <w:rPr>
      <w:smallCaps/>
      <w:color w:val="auto"/>
      <w:u w:val="single"/>
    </w:rPr>
  </w:style>
  <w:style w:type="character" w:styleId="IntenseReference">
    <w:name w:val="Intense Reference"/>
    <w:basedOn w:val="DefaultParagraphFont"/>
    <w:uiPriority w:val="32"/>
    <w:qFormat/>
    <w:rsid w:val="00267E5B"/>
    <w:rPr>
      <w:b/>
      <w:bCs/>
      <w:smallCaps/>
      <w:color w:val="auto"/>
      <w:spacing w:val="5"/>
      <w:u w:val="single"/>
    </w:rPr>
  </w:style>
  <w:style w:type="paragraph" w:customStyle="1" w:styleId="2ColumnHeading">
    <w:name w:val="2Column Heading"/>
    <w:basedOn w:val="BodyText"/>
    <w:qFormat/>
    <w:rsid w:val="00267E5B"/>
    <w:pPr>
      <w:spacing w:after="60"/>
      <w:ind w:left="-2268"/>
    </w:pPr>
    <w:rPr>
      <w:b/>
    </w:rPr>
  </w:style>
  <w:style w:type="paragraph" w:customStyle="1" w:styleId="Heading1TOC">
    <w:name w:val="Heading1 TOC"/>
    <w:basedOn w:val="Normal"/>
    <w:qFormat/>
    <w:rsid w:val="00267E5B"/>
    <w:pPr>
      <w:spacing w:before="240" w:after="120"/>
    </w:pPr>
    <w:rPr>
      <w:rFonts w:ascii="Times New Roman" w:hAnsi="Times New Roman"/>
      <w:b/>
      <w:sz w:val="32"/>
    </w:rPr>
  </w:style>
  <w:style w:type="paragraph" w:customStyle="1" w:styleId="Heading2TOC">
    <w:name w:val="Heading2 TOC"/>
    <w:basedOn w:val="Normal"/>
    <w:qFormat/>
    <w:rsid w:val="00267E5B"/>
    <w:pPr>
      <w:spacing w:before="240" w:after="60"/>
    </w:pPr>
    <w:rPr>
      <w:rFonts w:ascii="Times New Roman" w:hAnsi="Times New Roman"/>
      <w:b/>
      <w:sz w:val="28"/>
    </w:rPr>
  </w:style>
  <w:style w:type="character" w:customStyle="1" w:styleId="Underline">
    <w:name w:val="Underline"/>
    <w:basedOn w:val="DefaultParagraphFont"/>
    <w:qFormat/>
    <w:rsid w:val="00267E5B"/>
    <w:rPr>
      <w:u w:val="single"/>
    </w:rPr>
  </w:style>
  <w:style w:type="paragraph" w:styleId="BalloonText">
    <w:name w:val="Balloon Text"/>
    <w:basedOn w:val="Normal"/>
    <w:link w:val="BalloonTextChar"/>
    <w:rsid w:val="00267E5B"/>
    <w:rPr>
      <w:rFonts w:ascii="Tahoma" w:hAnsi="Tahoma" w:cs="Tahoma"/>
      <w:sz w:val="16"/>
      <w:szCs w:val="16"/>
    </w:rPr>
  </w:style>
  <w:style w:type="character" w:customStyle="1" w:styleId="BalloonTextChar">
    <w:name w:val="Balloon Text Char"/>
    <w:basedOn w:val="DefaultParagraphFont"/>
    <w:link w:val="BalloonText"/>
    <w:rsid w:val="00267E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E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7E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E5B"/>
    <w:rPr>
      <w:b/>
      <w:color w:val="660033"/>
      <w:spacing w:val="0"/>
    </w:rPr>
  </w:style>
  <w:style w:type="paragraph" w:customStyle="1" w:styleId="Nameditemlist">
    <w:name w:val="Named item list"/>
    <w:basedOn w:val="BodyText"/>
    <w:qFormat/>
    <w:rsid w:val="00267E5B"/>
    <w:pPr>
      <w:tabs>
        <w:tab w:val="left" w:pos="2835"/>
      </w:tabs>
      <w:ind w:left="2835" w:hanging="2835"/>
    </w:pPr>
  </w:style>
  <w:style w:type="paragraph" w:customStyle="1" w:styleId="BodyTextnopadding">
    <w:name w:val="Body Text no padding"/>
    <w:basedOn w:val="BodyText"/>
    <w:qFormat/>
    <w:rsid w:val="00267E5B"/>
    <w:pPr>
      <w:spacing w:before="0" w:after="0"/>
    </w:pPr>
  </w:style>
  <w:style w:type="paragraph" w:customStyle="1" w:styleId="BodyTextBold">
    <w:name w:val="Body Text Bold"/>
    <w:basedOn w:val="BodyText"/>
    <w:qFormat/>
    <w:rsid w:val="00267E5B"/>
    <w:rPr>
      <w:b/>
    </w:rPr>
  </w:style>
  <w:style w:type="character" w:styleId="Hyperlink">
    <w:name w:val="Hyperlink"/>
    <w:basedOn w:val="DefaultParagraphFont"/>
    <w:uiPriority w:val="99"/>
    <w:unhideWhenUsed/>
    <w:rsid w:val="00E529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5548</Characters>
  <Application>Microsoft Office Word</Application>
  <DocSecurity>0</DocSecurity>
  <Lines>264</Lines>
  <Paragraphs>140</Paragraphs>
  <ScaleCrop>false</ScaleCrop>
  <Company>Author-it Software Corporation Ltd.</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CPCCCM2010 Work safely on scaffolding higher than two metres</dc:title>
  <dc:subject>Approved</dc:subject>
  <dc:creator>BuildSkills Australia</dc:creator>
  <cp:keywords>Release: 1</cp:keywords>
  <dc:description>Review Date: 12 April 2008</dc:description>
  <cp:lastModifiedBy>HSD_TPCMSd.prod</cp:lastModifiedBy>
  <cp:revision>3</cp:revision>
  <dcterms:created xsi:type="dcterms:W3CDTF">2024-12-24T01:14:00Z</dcterms:created>
  <dcterms:modified xsi:type="dcterms:W3CDTF">2024-12-24T01:14:00Z</dcterms:modified>
</cp:coreProperties>
</file>