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0165" w:rsidP="00B80165">
      <w:pPr>
        <w:pStyle w:val="Title"/>
      </w:pPr>
      <w:r>
        <w:fldChar w:fldCharType="begin"/>
      </w:r>
      <w:r>
        <w:instrText xml:space="preserve"> TITLE   \* MERGEFORMAT </w:instrText>
      </w:r>
      <w:r>
        <w:fldChar w:fldCharType="separate"/>
      </w:r>
      <w:r>
        <w:t>CPCCCM2010 Work safely on scaffolding higher than two metres</w:t>
      </w:r>
      <w:r>
        <w:fldChar w:fldCharType="end"/>
      </w:r>
    </w:p>
    <w:p w:rsidR="00B80165" w:rsidP="00B80165">
      <w:pPr>
        <w:pStyle w:val="Version"/>
        <w:sectPr w:rsidSect="003D63B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63B2" w:rsidP="003D63B2">
      <w:pPr>
        <w:pStyle w:val="SuperHeading"/>
      </w:pPr>
      <w:r w:rsidRPr="003D63B2">
        <w:t>CPCCCM2010 Work safely on scaffolding higher than two metres</w:t>
      </w:r>
    </w:p>
    <w:p w:rsidR="00000000" w:rsidRPr="003D63B2" w:rsidP="003D63B2">
      <w:pPr>
        <w:pStyle w:val="Heading1"/>
      </w:pPr>
      <w:bookmarkStart w:id="1" w:name="O_829394"/>
      <w:bookmarkEnd w:id="1"/>
      <w:r w:rsidRPr="003D63B2">
        <w:t>Modification History</w:t>
      </w:r>
    </w:p>
    <w:p w:rsidR="00000000" w:rsidRPr="003D63B2" w:rsidP="00B80165">
      <w:pPr>
        <w:pStyle w:val="BodyText"/>
      </w:pPr>
      <w:r w:rsidRPr="003D63B2">
        <w:t>Release 1.</w:t>
      </w:r>
    </w:p>
    <w:p w:rsidR="00000000" w:rsidRPr="003D63B2" w:rsidP="00B80165">
      <w:pPr>
        <w:pStyle w:val="BodyText"/>
      </w:pPr>
      <w:r w:rsidRPr="003D63B2">
        <w:t>This version first released with CPC Construction, Plumbing and Services Training Package Version 2.</w:t>
      </w:r>
    </w:p>
    <w:p w:rsidR="00000000" w:rsidRPr="003D63B2" w:rsidP="003D63B2">
      <w:pPr>
        <w:pStyle w:val="Heading1"/>
      </w:pPr>
      <w:bookmarkStart w:id="2" w:name="O_829402"/>
      <w:bookmarkEnd w:id="2"/>
      <w:r w:rsidRPr="003D63B2">
        <w:t>Application</w:t>
      </w:r>
    </w:p>
    <w:p w:rsidR="00000000" w:rsidRPr="003D63B2" w:rsidP="00B80165">
      <w:pPr>
        <w:pStyle w:val="BodyText"/>
      </w:pPr>
      <w:r w:rsidRPr="003D63B2">
        <w:t>This unit of competency specifies the outcomes required to work safely on con</w:t>
      </w:r>
      <w:r w:rsidRPr="003D63B2">
        <w:t>struction sites where the work activity involves working above two metres from ground level and where fall protection measures are required. It covers safe methods for accessing the work site; and safe methods of moving or passing tools, equipment and mate</w:t>
      </w:r>
      <w:r w:rsidRPr="003D63B2">
        <w:t>rials to heights above two metres, including handling methods that avoid excessive bending or twisting.</w:t>
      </w:r>
    </w:p>
    <w:p w:rsidR="00000000" w:rsidRPr="003D63B2" w:rsidP="00B80165">
      <w:pPr>
        <w:pStyle w:val="BodyText"/>
      </w:pPr>
      <w:r w:rsidRPr="003D63B2">
        <w:t>The unit supports construction workers operating from scaffolding over two metres in height that has already been constructed with signage and exclusio</w:t>
      </w:r>
      <w:r w:rsidRPr="003D63B2">
        <w:t xml:space="preserve">n barriers in place, in order to reach upper storeys or roofs of buildings. It applies to workers who need to control the risk of falling and of falling objects when working on site or removing scaffold components. </w:t>
      </w:r>
    </w:p>
    <w:p w:rsidR="00000000" w:rsidRPr="003D63B2" w:rsidP="00B80165">
      <w:pPr>
        <w:pStyle w:val="BodyText"/>
      </w:pPr>
      <w:r w:rsidRPr="003D63B2">
        <w:t>It applies to construction work on resi</w:t>
      </w:r>
      <w:r w:rsidRPr="003D63B2">
        <w:t xml:space="preserve">dential and commercial work sites in new construction, renovation or refurbishment, and maintenance projects. </w:t>
      </w:r>
    </w:p>
    <w:p w:rsidR="00B80165" w:rsidP="00B80165">
      <w:pPr>
        <w:pStyle w:val="BodyText"/>
      </w:pPr>
      <w:r w:rsidRPr="003D63B2">
        <w:t>No licensing, legislative, regulatory, or certification requirements apply to this unit of competency at the time of endorsement.</w:t>
      </w:r>
    </w:p>
    <w:p w:rsidR="00000000" w:rsidRPr="003D63B2" w:rsidP="003D63B2">
      <w:pPr>
        <w:pStyle w:val="Heading1"/>
      </w:pPr>
      <w:bookmarkStart w:id="3" w:name="O_829401"/>
      <w:bookmarkEnd w:id="3"/>
      <w:r w:rsidRPr="003D63B2">
        <w:t>Pre-requisite Unit</w:t>
      </w:r>
    </w:p>
    <w:p w:rsidR="00000000" w:rsidRPr="003D63B2" w:rsidP="00B80165">
      <w:pPr>
        <w:pStyle w:val="BodyText"/>
      </w:pPr>
      <w:r w:rsidRPr="003D63B2">
        <w:t>Nil</w:t>
      </w:r>
    </w:p>
    <w:p w:rsidR="00000000" w:rsidRPr="003D63B2" w:rsidP="003D63B2">
      <w:pPr>
        <w:pStyle w:val="Heading1"/>
      </w:pPr>
      <w:bookmarkStart w:id="4" w:name="O_829400"/>
      <w:bookmarkEnd w:id="4"/>
      <w:r w:rsidRPr="003D63B2">
        <w:t>Competency Field</w:t>
      </w:r>
    </w:p>
    <w:p w:rsidR="00B80165" w:rsidP="00B80165">
      <w:pPr>
        <w:pStyle w:val="BodyText"/>
      </w:pPr>
      <w:r w:rsidRPr="003D63B2">
        <w:t>Common</w:t>
      </w:r>
    </w:p>
    <w:p w:rsidR="00000000" w:rsidRPr="003D63B2" w:rsidP="003D63B2">
      <w:pPr>
        <w:pStyle w:val="Heading1"/>
      </w:pPr>
      <w:bookmarkStart w:id="5" w:name="O_829399"/>
      <w:bookmarkEnd w:id="5"/>
      <w:r w:rsidRPr="003D63B2">
        <w:t>Unit Sector</w:t>
      </w:r>
    </w:p>
    <w:p w:rsidR="00000000" w:rsidRPr="003D63B2" w:rsidP="00B80165">
      <w:pPr>
        <w:pStyle w:val="BodyText"/>
      </w:pPr>
      <w:r w:rsidRPr="003D63B2">
        <w:t>Construction</w:t>
      </w:r>
    </w:p>
    <w:p w:rsidR="00000000" w:rsidRPr="003D63B2" w:rsidP="003D63B2">
      <w:pPr>
        <w:pStyle w:val="Heading1"/>
      </w:pPr>
      <w:bookmarkStart w:id="6" w:name="O_829398"/>
      <w:bookmarkEnd w:id="6"/>
      <w:r w:rsidRPr="003D63B2">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3D63B2">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3D63B2">
            <w:pPr>
              <w:pStyle w:val="BodyText"/>
              <w:rPr>
                <w:lang w:val="en-NZ"/>
              </w:rPr>
            </w:pPr>
            <w:r w:rsidRPr="003D63B2">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D63B2">
            <w:pPr>
              <w:pStyle w:val="BodyText"/>
              <w:rPr>
                <w:lang w:val="en-NZ"/>
              </w:rPr>
            </w:pPr>
            <w:r w:rsidRPr="003D63B2">
              <w:t>Performance criteria describe the performance needed to demonstrate achievement of the element. Where bold italicised text is used, further information is detailed in the range of conditions.</w:t>
            </w:r>
          </w:p>
        </w:tc>
      </w:tr>
      <w:tr w:rsidTr="003D63B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3D63B2">
            <w:pPr>
              <w:pStyle w:val="BodyText"/>
              <w:rPr>
                <w:lang w:val="en-NZ"/>
              </w:rPr>
            </w:pPr>
            <w:r w:rsidRPr="003D63B2">
              <w:t>1.</w:t>
            </w:r>
          </w:p>
        </w:tc>
        <w:tc>
          <w:tcPr>
            <w:tcW w:w="1962" w:type="dxa"/>
            <w:vMerge w:val="restart"/>
            <w:tcBorders>
              <w:top w:val="nil"/>
              <w:left w:val="nil"/>
              <w:bottom w:val="nil"/>
              <w:right w:val="nil"/>
            </w:tcBorders>
            <w:tcMar>
              <w:top w:w="0" w:type="dxa"/>
              <w:left w:w="62" w:type="dxa"/>
              <w:bottom w:w="0" w:type="dxa"/>
              <w:right w:w="62" w:type="dxa"/>
            </w:tcMar>
          </w:tcPr>
          <w:p w:rsidR="00000000" w:rsidP="003D63B2">
            <w:pPr>
              <w:pStyle w:val="BodyText"/>
              <w:rPr>
                <w:lang w:val="en-NZ"/>
              </w:rPr>
            </w:pPr>
            <w:r w:rsidRPr="003D63B2">
              <w:t>Identify work requirements.</w:t>
            </w:r>
          </w:p>
        </w:tc>
        <w:tc>
          <w:tcPr>
            <w:tcW w:w="770" w:type="dxa"/>
            <w:tcBorders>
              <w:top w:val="nil"/>
              <w:left w:val="nil"/>
              <w:bottom w:val="nil"/>
              <w:right w:val="nil"/>
            </w:tcBorders>
            <w:tcMar>
              <w:top w:w="0" w:type="dxa"/>
              <w:left w:w="62" w:type="dxa"/>
              <w:bottom w:w="0" w:type="dxa"/>
              <w:right w:w="62" w:type="dxa"/>
            </w:tcMar>
          </w:tcPr>
          <w:p w:rsidR="00000000" w:rsidP="003D63B2">
            <w:pPr>
              <w:pStyle w:val="BodyText"/>
              <w:rPr>
                <w:lang w:val="en-NZ"/>
              </w:rPr>
            </w:pPr>
            <w:r w:rsidRPr="003D63B2">
              <w:t>1.1.</w:t>
            </w:r>
          </w:p>
        </w:tc>
        <w:tc>
          <w:tcPr>
            <w:tcW w:w="5610" w:type="dxa"/>
            <w:tcBorders>
              <w:top w:val="nil"/>
              <w:left w:val="nil"/>
              <w:bottom w:val="nil"/>
              <w:right w:val="nil"/>
            </w:tcBorders>
            <w:tcMar>
              <w:top w:w="0" w:type="dxa"/>
              <w:left w:w="62" w:type="dxa"/>
              <w:bottom w:w="0" w:type="dxa"/>
              <w:right w:w="62" w:type="dxa"/>
            </w:tcMar>
          </w:tcPr>
          <w:p w:rsidR="00000000" w:rsidP="003D63B2">
            <w:pPr>
              <w:pStyle w:val="BodyText"/>
              <w:rPr>
                <w:lang w:val="en-NZ"/>
              </w:rPr>
            </w:pPr>
            <w:r w:rsidRPr="003D63B2">
              <w:t>Site of proposed work at h</w:t>
            </w:r>
            <w:r w:rsidRPr="003D63B2">
              <w:t>eights is identified from relevant information.</w:t>
            </w:r>
          </w:p>
        </w:tc>
      </w:tr>
      <w:tr w:rsidTr="003D63B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63B2">
            <w:pPr>
              <w:pStyle w:val="BodyText"/>
              <w:rPr>
                <w:lang w:val="en-NZ"/>
              </w:rPr>
            </w:pPr>
            <w:r w:rsidRPr="003D63B2">
              <w:t>1.2.</w:t>
            </w:r>
          </w:p>
        </w:tc>
        <w:tc>
          <w:tcPr>
            <w:tcW w:w="5610" w:type="dxa"/>
            <w:tcBorders>
              <w:top w:val="nil"/>
              <w:left w:val="nil"/>
              <w:bottom w:val="nil"/>
              <w:right w:val="nil"/>
            </w:tcBorders>
            <w:tcMar>
              <w:top w:w="0" w:type="dxa"/>
              <w:left w:w="62" w:type="dxa"/>
              <w:bottom w:w="0" w:type="dxa"/>
              <w:right w:w="62" w:type="dxa"/>
            </w:tcMar>
          </w:tcPr>
          <w:p w:rsidR="00000000" w:rsidP="003D63B2">
            <w:pPr>
              <w:pStyle w:val="BodyText"/>
              <w:rPr>
                <w:lang w:val="en-NZ"/>
              </w:rPr>
            </w:pPr>
            <w:r w:rsidRPr="003D63B2">
              <w:t>Tasks to be completed are identified from work orders and supervisor instructions.</w:t>
            </w:r>
          </w:p>
        </w:tc>
      </w:tr>
      <w:tr w:rsidTr="003D63B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63B2">
            <w:pPr>
              <w:pStyle w:val="BodyText"/>
              <w:rPr>
                <w:lang w:val="en-NZ"/>
              </w:rPr>
            </w:pPr>
            <w:r w:rsidRPr="003D63B2">
              <w:t>1.3.</w:t>
            </w:r>
          </w:p>
        </w:tc>
        <w:tc>
          <w:tcPr>
            <w:tcW w:w="5610" w:type="dxa"/>
            <w:tcBorders>
              <w:top w:val="nil"/>
              <w:left w:val="nil"/>
              <w:bottom w:val="nil"/>
              <w:right w:val="nil"/>
            </w:tcBorders>
            <w:tcMar>
              <w:top w:w="0" w:type="dxa"/>
              <w:left w:w="62" w:type="dxa"/>
              <w:bottom w:w="0" w:type="dxa"/>
              <w:right w:w="62" w:type="dxa"/>
            </w:tcMar>
          </w:tcPr>
          <w:p w:rsidR="00000000" w:rsidP="003D63B2">
            <w:pPr>
              <w:pStyle w:val="BodyText"/>
              <w:rPr>
                <w:lang w:val="en-NZ"/>
              </w:rPr>
            </w:pPr>
            <w:r w:rsidRPr="003D63B2">
              <w:t>Personal protective equipment (PPE) suitable to the job is selected and checked for serviceability.</w:t>
            </w:r>
          </w:p>
        </w:tc>
      </w:tr>
      <w:tr w:rsidTr="003D63B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63B2">
            <w:pPr>
              <w:pStyle w:val="BodyText"/>
              <w:rPr>
                <w:lang w:val="en-NZ"/>
              </w:rPr>
            </w:pPr>
            <w:r w:rsidRPr="003D63B2">
              <w:t>1.4.</w:t>
            </w:r>
          </w:p>
        </w:tc>
        <w:tc>
          <w:tcPr>
            <w:tcW w:w="5610" w:type="dxa"/>
            <w:tcBorders>
              <w:top w:val="nil"/>
              <w:left w:val="nil"/>
              <w:bottom w:val="nil"/>
              <w:right w:val="nil"/>
            </w:tcBorders>
            <w:tcMar>
              <w:top w:w="0" w:type="dxa"/>
              <w:left w:w="62" w:type="dxa"/>
              <w:bottom w:w="0" w:type="dxa"/>
              <w:right w:w="62" w:type="dxa"/>
            </w:tcMar>
          </w:tcPr>
          <w:p w:rsidR="00000000" w:rsidP="003D63B2">
            <w:pPr>
              <w:pStyle w:val="BodyText"/>
              <w:rPr>
                <w:lang w:val="en-NZ"/>
              </w:rPr>
            </w:pPr>
            <w:r w:rsidRPr="003D63B2">
              <w:t xml:space="preserve">Method of accessing work area is identified according to </w:t>
            </w:r>
            <w:r w:rsidRPr="003D63B2">
              <w:rPr>
                <w:rStyle w:val="BoldandItalics"/>
              </w:rPr>
              <w:t xml:space="preserve">safe work method statement </w:t>
            </w:r>
            <w:r w:rsidRPr="003D63B2">
              <w:t>(SWMS).</w:t>
            </w:r>
          </w:p>
        </w:tc>
      </w:tr>
      <w:tr w:rsidTr="003D63B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63B2">
            <w:pPr>
              <w:pStyle w:val="BodyText"/>
              <w:rPr>
                <w:lang w:val="en-NZ"/>
              </w:rPr>
            </w:pPr>
            <w:r w:rsidRPr="003D63B2">
              <w:t>1.5.</w:t>
            </w:r>
          </w:p>
        </w:tc>
        <w:tc>
          <w:tcPr>
            <w:tcW w:w="5610" w:type="dxa"/>
            <w:tcBorders>
              <w:top w:val="nil"/>
              <w:left w:val="nil"/>
              <w:bottom w:val="nil"/>
              <w:right w:val="nil"/>
            </w:tcBorders>
            <w:tcMar>
              <w:top w:w="0" w:type="dxa"/>
              <w:left w:w="62" w:type="dxa"/>
              <w:bottom w:w="0" w:type="dxa"/>
              <w:right w:w="62" w:type="dxa"/>
            </w:tcMar>
          </w:tcPr>
          <w:p w:rsidR="00000000" w:rsidP="003D63B2">
            <w:pPr>
              <w:pStyle w:val="BodyText"/>
              <w:rPr>
                <w:lang w:val="en-NZ"/>
              </w:rPr>
            </w:pPr>
            <w:r w:rsidRPr="003D63B2">
              <w:t>Safe work methods for moving tools, equipment and materials to work area are identified to minimise risks.</w:t>
            </w:r>
          </w:p>
        </w:tc>
      </w:tr>
      <w:tr w:rsidTr="003D63B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63B2">
            <w:pPr>
              <w:pStyle w:val="BodyText"/>
              <w:rPr>
                <w:lang w:val="en-NZ"/>
              </w:rPr>
            </w:pPr>
            <w:r w:rsidRPr="003D63B2">
              <w:t>1.6.</w:t>
            </w:r>
          </w:p>
        </w:tc>
        <w:tc>
          <w:tcPr>
            <w:tcW w:w="5610" w:type="dxa"/>
            <w:tcBorders>
              <w:top w:val="nil"/>
              <w:left w:val="nil"/>
              <w:bottom w:val="nil"/>
              <w:right w:val="nil"/>
            </w:tcBorders>
            <w:tcMar>
              <w:top w:w="0" w:type="dxa"/>
              <w:left w:w="62" w:type="dxa"/>
              <w:bottom w:w="0" w:type="dxa"/>
              <w:right w:w="62" w:type="dxa"/>
            </w:tcMar>
          </w:tcPr>
          <w:p w:rsidR="00000000" w:rsidP="003D63B2">
            <w:pPr>
              <w:pStyle w:val="BodyText"/>
              <w:rPr>
                <w:lang w:val="en-NZ"/>
              </w:rPr>
            </w:pPr>
            <w:r w:rsidRPr="003D63B2">
              <w:t>Verbal and non-verbal communication signals are confirmed with team members, supervisor and other personnel working on site, as required.</w:t>
            </w:r>
          </w:p>
        </w:tc>
      </w:tr>
      <w:tr w:rsidTr="003D63B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3D63B2">
            <w:pPr>
              <w:pStyle w:val="BodyText"/>
              <w:rPr>
                <w:lang w:val="en-NZ"/>
              </w:rPr>
            </w:pPr>
          </w:p>
        </w:tc>
      </w:tr>
      <w:tr w:rsidTr="003D63B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3D63B2">
            <w:pPr>
              <w:pStyle w:val="BodyText"/>
              <w:rPr>
                <w:lang w:val="en-NZ"/>
              </w:rPr>
            </w:pPr>
            <w:r w:rsidRPr="003D63B2">
              <w:t xml:space="preserve">2. </w:t>
            </w:r>
          </w:p>
        </w:tc>
        <w:tc>
          <w:tcPr>
            <w:tcW w:w="1962" w:type="dxa"/>
            <w:tcBorders>
              <w:top w:val="nil"/>
              <w:left w:val="nil"/>
              <w:bottom w:val="nil"/>
              <w:right w:val="nil"/>
            </w:tcBorders>
            <w:tcMar>
              <w:top w:w="0" w:type="dxa"/>
              <w:left w:w="62" w:type="dxa"/>
              <w:bottom w:w="0" w:type="dxa"/>
              <w:right w:w="62" w:type="dxa"/>
            </w:tcMar>
          </w:tcPr>
          <w:p w:rsidR="00000000" w:rsidP="003D63B2">
            <w:pPr>
              <w:pStyle w:val="BodyText"/>
              <w:rPr>
                <w:lang w:val="en-NZ"/>
              </w:rPr>
            </w:pPr>
            <w:r w:rsidRPr="003D63B2">
              <w:t>Access work area.</w:t>
            </w:r>
          </w:p>
        </w:tc>
        <w:tc>
          <w:tcPr>
            <w:tcW w:w="770" w:type="dxa"/>
            <w:tcBorders>
              <w:top w:val="nil"/>
              <w:left w:val="nil"/>
              <w:bottom w:val="nil"/>
              <w:right w:val="nil"/>
            </w:tcBorders>
            <w:tcMar>
              <w:top w:w="0" w:type="dxa"/>
              <w:left w:w="62" w:type="dxa"/>
              <w:bottom w:w="0" w:type="dxa"/>
              <w:right w:w="62" w:type="dxa"/>
            </w:tcMar>
          </w:tcPr>
          <w:p w:rsidR="00000000" w:rsidP="003D63B2">
            <w:pPr>
              <w:pStyle w:val="BodyText"/>
              <w:rPr>
                <w:lang w:val="en-NZ"/>
              </w:rPr>
            </w:pPr>
            <w:r w:rsidRPr="003D63B2">
              <w:t>2.1.</w:t>
            </w:r>
          </w:p>
        </w:tc>
        <w:tc>
          <w:tcPr>
            <w:tcW w:w="5610" w:type="dxa"/>
            <w:tcBorders>
              <w:top w:val="nil"/>
              <w:left w:val="nil"/>
              <w:bottom w:val="nil"/>
              <w:right w:val="nil"/>
            </w:tcBorders>
            <w:tcMar>
              <w:top w:w="0" w:type="dxa"/>
              <w:left w:w="62" w:type="dxa"/>
              <w:bottom w:w="0" w:type="dxa"/>
              <w:right w:w="62" w:type="dxa"/>
            </w:tcMar>
          </w:tcPr>
          <w:p w:rsidR="00000000" w:rsidP="003D63B2">
            <w:pPr>
              <w:pStyle w:val="BodyText"/>
              <w:rPr>
                <w:lang w:val="en-NZ"/>
              </w:rPr>
            </w:pPr>
            <w:r w:rsidRPr="003D63B2">
              <w:t xml:space="preserve">Work site is inspected and conditions and </w:t>
            </w:r>
            <w:r w:rsidRPr="003D63B2">
              <w:rPr>
                <w:rStyle w:val="BoldandItalics"/>
              </w:rPr>
              <w:t>hazards</w:t>
            </w:r>
            <w:r w:rsidRPr="003D63B2">
              <w:t xml:space="preserve"> are assessed and reported, as requi</w:t>
            </w:r>
            <w:r w:rsidRPr="003D63B2">
              <w:t>red, and risk controls selected according to SWMS.</w:t>
            </w:r>
          </w:p>
        </w:tc>
      </w:tr>
      <w:tr w:rsidTr="003D63B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3D63B2" w:rsidP="003D63B2">
            <w:pPr>
              <w:pStyle w:val="BodyText"/>
            </w:pPr>
            <w:r w:rsidRPr="003D63B2">
              <w:t>2.2.</w:t>
            </w:r>
          </w:p>
        </w:tc>
        <w:tc>
          <w:tcPr>
            <w:tcW w:w="5610" w:type="dxa"/>
            <w:tcBorders>
              <w:top w:val="nil"/>
              <w:left w:val="nil"/>
              <w:bottom w:val="nil"/>
              <w:right w:val="nil"/>
            </w:tcBorders>
            <w:tcMar>
              <w:top w:w="0" w:type="dxa"/>
              <w:left w:w="62" w:type="dxa"/>
              <w:bottom w:w="0" w:type="dxa"/>
              <w:right w:w="62" w:type="dxa"/>
            </w:tcMar>
          </w:tcPr>
          <w:p w:rsidR="00000000" w:rsidP="003D63B2">
            <w:pPr>
              <w:pStyle w:val="BodyText"/>
              <w:rPr>
                <w:lang w:val="en-NZ"/>
              </w:rPr>
            </w:pPr>
            <w:r w:rsidRPr="003D63B2">
              <w:rPr>
                <w:rStyle w:val="BoldandItalics"/>
              </w:rPr>
              <w:t>Safety of scaffolding</w:t>
            </w:r>
            <w:r w:rsidRPr="003D63B2">
              <w:t xml:space="preserve"> is checked and faults are reported to relevant personnel.</w:t>
            </w:r>
          </w:p>
        </w:tc>
      </w:tr>
      <w:tr w:rsidTr="003D63B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63B2">
            <w:pPr>
              <w:pStyle w:val="BodyText"/>
              <w:rPr>
                <w:lang w:val="en-NZ"/>
              </w:rPr>
            </w:pPr>
            <w:r w:rsidRPr="003D63B2">
              <w:t>2.3.</w:t>
            </w:r>
          </w:p>
        </w:tc>
        <w:tc>
          <w:tcPr>
            <w:tcW w:w="5610" w:type="dxa"/>
            <w:tcBorders>
              <w:top w:val="nil"/>
              <w:left w:val="nil"/>
              <w:bottom w:val="nil"/>
              <w:right w:val="nil"/>
            </w:tcBorders>
            <w:tcMar>
              <w:top w:w="0" w:type="dxa"/>
              <w:left w:w="62" w:type="dxa"/>
              <w:bottom w:w="0" w:type="dxa"/>
              <w:right w:w="62" w:type="dxa"/>
            </w:tcMar>
          </w:tcPr>
          <w:p w:rsidR="00000000" w:rsidP="003D63B2">
            <w:pPr>
              <w:pStyle w:val="BodyText"/>
              <w:rPr>
                <w:lang w:val="en-NZ"/>
              </w:rPr>
            </w:pPr>
            <w:r w:rsidRPr="003D63B2">
              <w:t>Arrangements are made to install required access equipment according to SWMS.</w:t>
            </w:r>
          </w:p>
        </w:tc>
      </w:tr>
      <w:tr w:rsidTr="003D63B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63B2">
            <w:pPr>
              <w:pStyle w:val="BodyText"/>
              <w:rPr>
                <w:lang w:val="en-NZ"/>
              </w:rPr>
            </w:pPr>
            <w:r w:rsidRPr="003D63B2">
              <w:t>2.4.</w:t>
            </w:r>
          </w:p>
        </w:tc>
        <w:tc>
          <w:tcPr>
            <w:tcW w:w="5610" w:type="dxa"/>
            <w:tcBorders>
              <w:top w:val="nil"/>
              <w:left w:val="nil"/>
              <w:bottom w:val="nil"/>
              <w:right w:val="nil"/>
            </w:tcBorders>
            <w:tcMar>
              <w:top w:w="0" w:type="dxa"/>
              <w:left w:w="62" w:type="dxa"/>
              <w:bottom w:w="0" w:type="dxa"/>
              <w:right w:w="62" w:type="dxa"/>
            </w:tcMar>
          </w:tcPr>
          <w:p w:rsidR="00000000" w:rsidP="003D63B2">
            <w:pPr>
              <w:pStyle w:val="BodyText"/>
              <w:rPr>
                <w:lang w:val="en-NZ"/>
              </w:rPr>
            </w:pPr>
            <w:r w:rsidRPr="003D63B2">
              <w:t>Access equipment is inspected for defects and issues are reported and rectified according to health and safety requirements.</w:t>
            </w:r>
          </w:p>
        </w:tc>
      </w:tr>
      <w:tr w:rsidTr="003D63B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63B2">
            <w:pPr>
              <w:pStyle w:val="BodyText"/>
              <w:rPr>
                <w:lang w:val="en-NZ"/>
              </w:rPr>
            </w:pPr>
            <w:r w:rsidRPr="003D63B2">
              <w:t>2.5.</w:t>
            </w:r>
          </w:p>
        </w:tc>
        <w:tc>
          <w:tcPr>
            <w:tcW w:w="5610" w:type="dxa"/>
            <w:tcBorders>
              <w:top w:val="nil"/>
              <w:left w:val="nil"/>
              <w:bottom w:val="nil"/>
              <w:right w:val="nil"/>
            </w:tcBorders>
            <w:tcMar>
              <w:top w:w="0" w:type="dxa"/>
              <w:left w:w="62" w:type="dxa"/>
              <w:bottom w:w="0" w:type="dxa"/>
              <w:right w:w="62" w:type="dxa"/>
            </w:tcMar>
          </w:tcPr>
          <w:p w:rsidR="00000000" w:rsidP="003D63B2">
            <w:pPr>
              <w:pStyle w:val="BodyText"/>
              <w:rPr>
                <w:lang w:val="en-NZ"/>
              </w:rPr>
            </w:pPr>
            <w:r w:rsidRPr="003D63B2">
              <w:t>Safe work methods are used to access work area and to move tools, equipment and materials to required locations on the work</w:t>
            </w:r>
            <w:r w:rsidRPr="003D63B2">
              <w:t xml:space="preserve"> site. </w:t>
            </w:r>
          </w:p>
        </w:tc>
      </w:tr>
      <w:tr w:rsidTr="003D63B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63B2">
            <w:pPr>
              <w:pStyle w:val="BodyText"/>
              <w:rPr>
                <w:lang w:val="en-NZ"/>
              </w:rPr>
            </w:pPr>
            <w:r w:rsidRPr="003D63B2">
              <w:t>2.6.</w:t>
            </w:r>
          </w:p>
        </w:tc>
        <w:tc>
          <w:tcPr>
            <w:tcW w:w="5610" w:type="dxa"/>
            <w:tcBorders>
              <w:top w:val="nil"/>
              <w:left w:val="nil"/>
              <w:bottom w:val="nil"/>
              <w:right w:val="nil"/>
            </w:tcBorders>
            <w:tcMar>
              <w:top w:w="0" w:type="dxa"/>
              <w:left w:w="62" w:type="dxa"/>
              <w:bottom w:w="0" w:type="dxa"/>
              <w:right w:w="62" w:type="dxa"/>
            </w:tcMar>
          </w:tcPr>
          <w:p w:rsidR="00000000" w:rsidP="003D63B2">
            <w:pPr>
              <w:pStyle w:val="BodyText"/>
              <w:rPr>
                <w:lang w:val="en-NZ"/>
              </w:rPr>
            </w:pPr>
            <w:r w:rsidRPr="003D63B2">
              <w:t>Tools and materials are placed to eliminate or reduce the risk of items falling.</w:t>
            </w:r>
          </w:p>
        </w:tc>
      </w:tr>
      <w:tr w:rsidTr="003D63B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3D63B2">
            <w:pPr>
              <w:pStyle w:val="BodyText"/>
              <w:rPr>
                <w:lang w:val="en-NZ"/>
              </w:rPr>
            </w:pPr>
          </w:p>
        </w:tc>
      </w:tr>
      <w:tr w:rsidTr="003D63B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3D63B2">
            <w:pPr>
              <w:pStyle w:val="BodyText"/>
              <w:rPr>
                <w:lang w:val="en-NZ"/>
              </w:rPr>
            </w:pPr>
            <w:r w:rsidRPr="003D63B2">
              <w:t>3.</w:t>
            </w:r>
          </w:p>
        </w:tc>
        <w:tc>
          <w:tcPr>
            <w:tcW w:w="1962" w:type="dxa"/>
            <w:vMerge w:val="restart"/>
            <w:tcBorders>
              <w:top w:val="nil"/>
              <w:left w:val="nil"/>
              <w:bottom w:val="nil"/>
              <w:right w:val="nil"/>
            </w:tcBorders>
            <w:tcMar>
              <w:top w:w="0" w:type="dxa"/>
              <w:left w:w="62" w:type="dxa"/>
              <w:bottom w:w="0" w:type="dxa"/>
              <w:right w:w="62" w:type="dxa"/>
            </w:tcMar>
          </w:tcPr>
          <w:p w:rsidR="00000000" w:rsidP="003D63B2">
            <w:pPr>
              <w:pStyle w:val="BodyText"/>
              <w:rPr>
                <w:lang w:val="en-NZ"/>
              </w:rPr>
            </w:pPr>
            <w:r w:rsidRPr="003D63B2">
              <w:t>Conduct work tasks.</w:t>
            </w:r>
          </w:p>
        </w:tc>
        <w:tc>
          <w:tcPr>
            <w:tcW w:w="770" w:type="dxa"/>
            <w:tcBorders>
              <w:top w:val="nil"/>
              <w:left w:val="nil"/>
              <w:bottom w:val="nil"/>
              <w:right w:val="nil"/>
            </w:tcBorders>
            <w:tcMar>
              <w:top w:w="0" w:type="dxa"/>
              <w:left w:w="62" w:type="dxa"/>
              <w:bottom w:w="0" w:type="dxa"/>
              <w:right w:w="62" w:type="dxa"/>
            </w:tcMar>
          </w:tcPr>
          <w:p w:rsidR="00000000" w:rsidP="003D63B2">
            <w:pPr>
              <w:pStyle w:val="BodyText"/>
              <w:rPr>
                <w:lang w:val="en-NZ"/>
              </w:rPr>
            </w:pPr>
            <w:r w:rsidRPr="003D63B2">
              <w:t>3.1.</w:t>
            </w:r>
          </w:p>
        </w:tc>
        <w:tc>
          <w:tcPr>
            <w:tcW w:w="5610" w:type="dxa"/>
            <w:tcBorders>
              <w:top w:val="nil"/>
              <w:left w:val="nil"/>
              <w:bottom w:val="nil"/>
              <w:right w:val="nil"/>
            </w:tcBorders>
            <w:tcMar>
              <w:top w:w="0" w:type="dxa"/>
              <w:left w:w="62" w:type="dxa"/>
              <w:bottom w:w="0" w:type="dxa"/>
              <w:right w:w="62" w:type="dxa"/>
            </w:tcMar>
          </w:tcPr>
          <w:p w:rsidR="00000000" w:rsidP="003D63B2">
            <w:pPr>
              <w:pStyle w:val="BodyText"/>
              <w:rPr>
                <w:lang w:val="en-NZ"/>
              </w:rPr>
            </w:pPr>
            <w:r w:rsidRPr="003D63B2">
              <w:t>Work is conducted following workplace-approved procedures and SWMS.</w:t>
            </w:r>
          </w:p>
        </w:tc>
      </w:tr>
      <w:tr w:rsidTr="003D63B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63B2">
            <w:pPr>
              <w:pStyle w:val="BodyText"/>
              <w:rPr>
                <w:lang w:val="en-NZ"/>
              </w:rPr>
            </w:pPr>
            <w:r w:rsidRPr="003D63B2">
              <w:t>3.2.</w:t>
            </w:r>
          </w:p>
        </w:tc>
        <w:tc>
          <w:tcPr>
            <w:tcW w:w="5610" w:type="dxa"/>
            <w:tcBorders>
              <w:top w:val="nil"/>
              <w:left w:val="nil"/>
              <w:bottom w:val="nil"/>
              <w:right w:val="nil"/>
            </w:tcBorders>
            <w:tcMar>
              <w:top w:w="0" w:type="dxa"/>
              <w:left w:w="62" w:type="dxa"/>
              <w:bottom w:w="0" w:type="dxa"/>
              <w:right w:w="62" w:type="dxa"/>
            </w:tcMar>
          </w:tcPr>
          <w:p w:rsidR="00000000" w:rsidP="003D63B2">
            <w:pPr>
              <w:pStyle w:val="BodyText"/>
              <w:rPr>
                <w:lang w:val="en-NZ"/>
              </w:rPr>
            </w:pPr>
            <w:r w:rsidRPr="003D63B2">
              <w:t xml:space="preserve">Communication with team members and other site personnel is maintained as required to progress work tasks according to required timelines. </w:t>
            </w:r>
          </w:p>
        </w:tc>
      </w:tr>
      <w:tr w:rsidTr="003D63B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63B2">
            <w:pPr>
              <w:pStyle w:val="BodyText"/>
              <w:rPr>
                <w:lang w:val="en-NZ"/>
              </w:rPr>
            </w:pPr>
            <w:r w:rsidRPr="003D63B2">
              <w:t>3.3.</w:t>
            </w:r>
          </w:p>
        </w:tc>
        <w:tc>
          <w:tcPr>
            <w:tcW w:w="5610" w:type="dxa"/>
            <w:tcBorders>
              <w:top w:val="nil"/>
              <w:left w:val="nil"/>
              <w:bottom w:val="nil"/>
              <w:right w:val="nil"/>
            </w:tcBorders>
            <w:tcMar>
              <w:top w:w="0" w:type="dxa"/>
              <w:left w:w="62" w:type="dxa"/>
              <w:bottom w:w="0" w:type="dxa"/>
              <w:right w:w="62" w:type="dxa"/>
            </w:tcMar>
          </w:tcPr>
          <w:p w:rsidR="00000000" w:rsidP="003D63B2">
            <w:pPr>
              <w:pStyle w:val="BodyText"/>
              <w:rPr>
                <w:lang w:val="en-NZ"/>
              </w:rPr>
            </w:pPr>
            <w:r w:rsidRPr="003D63B2">
              <w:t>Fall protection equipment is kept in place and adjusted to cater for movement during work.</w:t>
            </w:r>
          </w:p>
        </w:tc>
      </w:tr>
      <w:tr w:rsidTr="003D63B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63B2">
            <w:pPr>
              <w:pStyle w:val="BodyText"/>
              <w:rPr>
                <w:lang w:val="en-NZ"/>
              </w:rPr>
            </w:pPr>
            <w:r w:rsidRPr="003D63B2">
              <w:t>3.4.</w:t>
            </w:r>
          </w:p>
        </w:tc>
        <w:tc>
          <w:tcPr>
            <w:tcW w:w="5610" w:type="dxa"/>
            <w:tcBorders>
              <w:top w:val="nil"/>
              <w:left w:val="nil"/>
              <w:bottom w:val="nil"/>
              <w:right w:val="nil"/>
            </w:tcBorders>
            <w:tcMar>
              <w:top w:w="0" w:type="dxa"/>
              <w:left w:w="62" w:type="dxa"/>
              <w:bottom w:w="0" w:type="dxa"/>
              <w:right w:w="62" w:type="dxa"/>
            </w:tcMar>
          </w:tcPr>
          <w:p w:rsidR="00000000" w:rsidP="003D63B2">
            <w:pPr>
              <w:pStyle w:val="BodyText"/>
              <w:rPr>
                <w:lang w:val="en-NZ"/>
              </w:rPr>
            </w:pPr>
            <w:r w:rsidRPr="003D63B2">
              <w:t>Scaffold components and fall barriers are kept in place during work.</w:t>
            </w:r>
          </w:p>
        </w:tc>
      </w:tr>
      <w:tr w:rsidTr="003D63B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3D63B2">
            <w:pPr>
              <w:pStyle w:val="BodyText"/>
              <w:rPr>
                <w:lang w:val="en-NZ"/>
              </w:rPr>
            </w:pPr>
          </w:p>
        </w:tc>
      </w:tr>
      <w:tr w:rsidTr="003D63B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3D63B2">
            <w:pPr>
              <w:pStyle w:val="BodyText"/>
              <w:rPr>
                <w:lang w:val="en-NZ"/>
              </w:rPr>
            </w:pPr>
            <w:r w:rsidRPr="003D63B2">
              <w:t>4.</w:t>
            </w:r>
          </w:p>
        </w:tc>
        <w:tc>
          <w:tcPr>
            <w:tcW w:w="1962" w:type="dxa"/>
            <w:tcBorders>
              <w:top w:val="nil"/>
              <w:left w:val="nil"/>
              <w:bottom w:val="nil"/>
              <w:right w:val="nil"/>
            </w:tcBorders>
            <w:tcMar>
              <w:top w:w="0" w:type="dxa"/>
              <w:left w:w="62" w:type="dxa"/>
              <w:bottom w:w="0" w:type="dxa"/>
              <w:right w:w="62" w:type="dxa"/>
            </w:tcMar>
          </w:tcPr>
          <w:p w:rsidR="00000000" w:rsidP="003D63B2">
            <w:pPr>
              <w:pStyle w:val="BodyText"/>
              <w:rPr>
                <w:lang w:val="en-NZ"/>
              </w:rPr>
            </w:pPr>
            <w:r w:rsidRPr="003D63B2">
              <w:t>Finalise work processes.</w:t>
            </w:r>
          </w:p>
        </w:tc>
        <w:tc>
          <w:tcPr>
            <w:tcW w:w="770" w:type="dxa"/>
            <w:tcBorders>
              <w:top w:val="nil"/>
              <w:left w:val="nil"/>
              <w:bottom w:val="nil"/>
              <w:right w:val="nil"/>
            </w:tcBorders>
            <w:tcMar>
              <w:top w:w="0" w:type="dxa"/>
              <w:left w:w="62" w:type="dxa"/>
              <w:bottom w:w="0" w:type="dxa"/>
              <w:right w:w="62" w:type="dxa"/>
            </w:tcMar>
          </w:tcPr>
          <w:p w:rsidR="00000000" w:rsidP="003D63B2">
            <w:pPr>
              <w:pStyle w:val="BodyText"/>
              <w:rPr>
                <w:lang w:val="en-NZ"/>
              </w:rPr>
            </w:pPr>
            <w:r w:rsidRPr="003D63B2">
              <w:t>4.1.</w:t>
            </w:r>
          </w:p>
        </w:tc>
        <w:tc>
          <w:tcPr>
            <w:tcW w:w="5610" w:type="dxa"/>
            <w:tcBorders>
              <w:top w:val="nil"/>
              <w:left w:val="nil"/>
              <w:bottom w:val="nil"/>
              <w:right w:val="nil"/>
            </w:tcBorders>
            <w:tcMar>
              <w:top w:w="0" w:type="dxa"/>
              <w:left w:w="62" w:type="dxa"/>
              <w:bottom w:w="0" w:type="dxa"/>
              <w:right w:w="62" w:type="dxa"/>
            </w:tcMar>
          </w:tcPr>
          <w:p w:rsidR="00000000" w:rsidP="003D63B2">
            <w:pPr>
              <w:pStyle w:val="BodyText"/>
              <w:rPr>
                <w:lang w:val="en-NZ"/>
              </w:rPr>
            </w:pPr>
            <w:r w:rsidRPr="003D63B2">
              <w:t>Egress from work area is completed following SWMS and work site supervisor approved methods for moving self, tools and materials to ground level.</w:t>
            </w:r>
          </w:p>
        </w:tc>
      </w:tr>
      <w:tr w:rsidTr="003D63B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63B2">
            <w:pPr>
              <w:pStyle w:val="BodyText"/>
              <w:rPr>
                <w:lang w:val="en-NZ"/>
              </w:rPr>
            </w:pPr>
            <w:r w:rsidRPr="003D63B2">
              <w:t>4.2.</w:t>
            </w:r>
          </w:p>
        </w:tc>
        <w:tc>
          <w:tcPr>
            <w:tcW w:w="5610" w:type="dxa"/>
            <w:tcBorders>
              <w:top w:val="nil"/>
              <w:left w:val="nil"/>
              <w:bottom w:val="nil"/>
              <w:right w:val="nil"/>
            </w:tcBorders>
            <w:tcMar>
              <w:top w:w="0" w:type="dxa"/>
              <w:left w:w="62" w:type="dxa"/>
              <w:bottom w:w="0" w:type="dxa"/>
              <w:right w:w="62" w:type="dxa"/>
            </w:tcMar>
          </w:tcPr>
          <w:p w:rsidR="00000000" w:rsidRPr="003D63B2" w:rsidP="003D63B2">
            <w:pPr>
              <w:pStyle w:val="BodyText"/>
            </w:pPr>
            <w:r w:rsidRPr="003D63B2">
              <w:t>Tools, equipment and materials returned to ground level are cleaned, checked, maintained and stored according to manufacturer specifications.</w:t>
            </w:r>
          </w:p>
        </w:tc>
      </w:tr>
    </w:tbl>
    <w:p w:rsidR="00000000" w:rsidRPr="003D63B2" w:rsidP="003D63B2">
      <w:pPr>
        <w:pStyle w:val="BodyText"/>
      </w:pPr>
    </w:p>
    <w:p w:rsidR="00000000" w:rsidRPr="003D63B2" w:rsidP="003D63B2">
      <w:pPr>
        <w:pStyle w:val="AllowPageBreak"/>
      </w:pPr>
    </w:p>
    <w:p w:rsidR="00000000" w:rsidRPr="003D63B2" w:rsidP="003D63B2">
      <w:pPr>
        <w:pStyle w:val="Heading1"/>
      </w:pPr>
      <w:bookmarkStart w:id="7" w:name="O_829397"/>
      <w:bookmarkEnd w:id="7"/>
      <w:r w:rsidRPr="003D63B2">
        <w:t>Foundation Skills</w:t>
      </w:r>
    </w:p>
    <w:tbl>
      <w:tblPr>
        <w:tblW w:w="0" w:type="auto"/>
        <w:tblLayout w:type="fixed"/>
        <w:tblCellMar>
          <w:left w:w="62" w:type="dxa"/>
          <w:right w:w="62" w:type="dxa"/>
        </w:tblCellMar>
        <w:tblLook w:val="0000"/>
      </w:tblPr>
      <w:tblGrid>
        <w:gridCol w:w="2760"/>
        <w:gridCol w:w="6312"/>
      </w:tblGrid>
      <w:tr w:rsidTr="003D63B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D63B2">
            <w:pPr>
              <w:pStyle w:val="BodyText"/>
              <w:rPr>
                <w:lang w:val="en-NZ"/>
              </w:rPr>
            </w:pPr>
            <w:r w:rsidRPr="003D63B2">
              <w:t xml:space="preserve">This section describes the language, literacy, numeracy and employment </w:t>
            </w:r>
            <w:r w:rsidRPr="003D63B2">
              <w:t>skills essential to performance in this unit but not explicit in the performance criteria.</w:t>
            </w:r>
          </w:p>
        </w:tc>
      </w:tr>
      <w:tr w:rsidTr="003D63B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3D63B2" w:rsidP="003D63B2">
            <w:pPr>
              <w:pStyle w:val="BodyText"/>
            </w:pPr>
            <w:r w:rsidRPr="003D63B2">
              <w:rPr>
                <w:rStyle w:val="SpecialBold"/>
              </w:rPr>
              <w:t>Skill</w:t>
            </w:r>
          </w:p>
        </w:tc>
        <w:tc>
          <w:tcPr>
            <w:tcW w:w="6312" w:type="dxa"/>
            <w:tcBorders>
              <w:top w:val="nil"/>
              <w:left w:val="nil"/>
              <w:bottom w:val="nil"/>
              <w:right w:val="nil"/>
            </w:tcBorders>
            <w:tcMar>
              <w:top w:w="0" w:type="dxa"/>
              <w:left w:w="62" w:type="dxa"/>
              <w:bottom w:w="0" w:type="dxa"/>
              <w:right w:w="62" w:type="dxa"/>
            </w:tcMar>
          </w:tcPr>
          <w:p w:rsidR="00000000" w:rsidP="003D63B2">
            <w:pPr>
              <w:pStyle w:val="BodyText"/>
              <w:rPr>
                <w:lang w:val="en-NZ"/>
              </w:rPr>
            </w:pPr>
            <w:r w:rsidRPr="003D63B2">
              <w:rPr>
                <w:rStyle w:val="SpecialBold"/>
              </w:rPr>
              <w:t>Performance feature</w:t>
            </w:r>
          </w:p>
        </w:tc>
      </w:tr>
      <w:tr w:rsidTr="003D63B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D63B2">
            <w:pPr>
              <w:pStyle w:val="BodyText"/>
              <w:rPr>
                <w:lang w:val="en-NZ"/>
              </w:rPr>
            </w:pPr>
            <w:r w:rsidRPr="003D63B2">
              <w:t>Numeracy skills to:</w:t>
            </w:r>
          </w:p>
        </w:tc>
        <w:tc>
          <w:tcPr>
            <w:tcW w:w="6312" w:type="dxa"/>
            <w:tcBorders>
              <w:top w:val="nil"/>
              <w:left w:val="nil"/>
              <w:bottom w:val="nil"/>
              <w:right w:val="nil"/>
            </w:tcBorders>
            <w:tcMar>
              <w:top w:w="0" w:type="dxa"/>
              <w:left w:w="62" w:type="dxa"/>
              <w:bottom w:w="0" w:type="dxa"/>
              <w:right w:w="62" w:type="dxa"/>
            </w:tcMar>
          </w:tcPr>
          <w:p w:rsidR="00000000" w:rsidRPr="003D63B2" w:rsidP="003D63B2">
            <w:pPr>
              <w:pStyle w:val="ListBullet"/>
            </w:pPr>
            <w:r w:rsidRPr="003D63B2">
              <w:t>perform measurements relating to checking safety of scaffolding.</w:t>
            </w:r>
          </w:p>
          <w:p w:rsidR="00000000" w:rsidP="003D63B2">
            <w:pPr>
              <w:pStyle w:val="BodyText"/>
              <w:rPr>
                <w:lang w:val="en-NZ"/>
              </w:rPr>
            </w:pPr>
          </w:p>
        </w:tc>
      </w:tr>
      <w:tr w:rsidTr="003D63B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D63B2">
            <w:pPr>
              <w:pStyle w:val="BodyText"/>
              <w:rPr>
                <w:lang w:val="en-NZ"/>
              </w:rPr>
            </w:pPr>
            <w:r w:rsidRPr="003D63B2">
              <w:t>Oral communication skills to:</w:t>
            </w:r>
          </w:p>
        </w:tc>
        <w:tc>
          <w:tcPr>
            <w:tcW w:w="6312" w:type="dxa"/>
            <w:tcBorders>
              <w:top w:val="nil"/>
              <w:left w:val="nil"/>
              <w:bottom w:val="nil"/>
              <w:right w:val="nil"/>
            </w:tcBorders>
            <w:tcMar>
              <w:top w:w="0" w:type="dxa"/>
              <w:left w:w="62" w:type="dxa"/>
              <w:bottom w:w="0" w:type="dxa"/>
              <w:right w:w="62" w:type="dxa"/>
            </w:tcMar>
          </w:tcPr>
          <w:p w:rsidR="00000000" w:rsidRPr="003D63B2" w:rsidP="003D63B2">
            <w:pPr>
              <w:pStyle w:val="ListBullet"/>
            </w:pPr>
            <w:r w:rsidRPr="003D63B2">
              <w:t>report faults in scaffolding construction or materials</w:t>
            </w:r>
          </w:p>
          <w:p w:rsidR="00000000" w:rsidRPr="003D63B2" w:rsidP="003D63B2">
            <w:pPr>
              <w:pStyle w:val="ListBullet"/>
            </w:pPr>
            <w:r w:rsidRPr="003D63B2">
              <w:t>report non-routine hazards to a supervisor.</w:t>
            </w:r>
          </w:p>
          <w:p w:rsidR="00000000" w:rsidP="003D63B2">
            <w:pPr>
              <w:pStyle w:val="BodyText"/>
              <w:rPr>
                <w:lang w:val="en-NZ"/>
              </w:rPr>
            </w:pPr>
          </w:p>
        </w:tc>
      </w:tr>
      <w:tr w:rsidTr="003D63B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D63B2">
            <w:pPr>
              <w:pStyle w:val="BodyText"/>
              <w:rPr>
                <w:lang w:val="en-NZ"/>
              </w:rPr>
            </w:pPr>
            <w:r w:rsidRPr="003D63B2">
              <w:t>Reading skills to:</w:t>
            </w:r>
          </w:p>
        </w:tc>
        <w:tc>
          <w:tcPr>
            <w:tcW w:w="6312" w:type="dxa"/>
            <w:tcBorders>
              <w:top w:val="nil"/>
              <w:left w:val="nil"/>
              <w:bottom w:val="nil"/>
              <w:right w:val="nil"/>
            </w:tcBorders>
            <w:tcMar>
              <w:top w:w="0" w:type="dxa"/>
              <w:left w:w="62" w:type="dxa"/>
              <w:bottom w:w="0" w:type="dxa"/>
              <w:right w:w="62" w:type="dxa"/>
            </w:tcMar>
          </w:tcPr>
          <w:p w:rsidR="00000000" w:rsidRPr="003D63B2" w:rsidP="003D63B2">
            <w:pPr>
              <w:pStyle w:val="ListBullet"/>
            </w:pPr>
            <w:r w:rsidRPr="003D63B2">
              <w:t>interpret safe work methods and risk control strategies in the SWMS relating to job tasks.</w:t>
            </w:r>
          </w:p>
          <w:p w:rsidR="00000000" w:rsidP="003D63B2">
            <w:pPr>
              <w:pStyle w:val="BodyText"/>
              <w:rPr>
                <w:lang w:val="en-NZ"/>
              </w:rPr>
            </w:pPr>
          </w:p>
        </w:tc>
      </w:tr>
      <w:tr w:rsidTr="003D63B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D63B2">
            <w:pPr>
              <w:pStyle w:val="BodyText"/>
              <w:rPr>
                <w:lang w:val="en-NZ"/>
              </w:rPr>
            </w:pPr>
            <w:r w:rsidRPr="003D63B2">
              <w:t>Planning and organising skills to:</w:t>
            </w:r>
          </w:p>
        </w:tc>
        <w:tc>
          <w:tcPr>
            <w:tcW w:w="6312" w:type="dxa"/>
            <w:tcBorders>
              <w:top w:val="nil"/>
              <w:left w:val="nil"/>
              <w:bottom w:val="nil"/>
              <w:right w:val="nil"/>
            </w:tcBorders>
            <w:tcMar>
              <w:top w:w="0" w:type="dxa"/>
              <w:left w:w="62" w:type="dxa"/>
              <w:bottom w:w="0" w:type="dxa"/>
              <w:right w:w="62" w:type="dxa"/>
            </w:tcMar>
          </w:tcPr>
          <w:p w:rsidR="00000000" w:rsidRPr="003D63B2" w:rsidP="003D63B2">
            <w:pPr>
              <w:pStyle w:val="ListBullet"/>
            </w:pPr>
            <w:r w:rsidRPr="003D63B2">
              <w:t>plan a</w:t>
            </w:r>
            <w:r w:rsidRPr="003D63B2">
              <w:t>nd schedule work in a logical sequence.</w:t>
            </w:r>
          </w:p>
          <w:p w:rsidR="00000000" w:rsidP="003D63B2">
            <w:pPr>
              <w:pStyle w:val="BodyText"/>
              <w:rPr>
                <w:lang w:val="en-NZ"/>
              </w:rPr>
            </w:pPr>
          </w:p>
        </w:tc>
      </w:tr>
      <w:tr w:rsidTr="003D63B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D63B2">
            <w:pPr>
              <w:pStyle w:val="BodyText"/>
              <w:rPr>
                <w:lang w:val="en-NZ"/>
              </w:rPr>
            </w:pPr>
            <w:r w:rsidRPr="003D63B2">
              <w:t>Initiative and enterprise skills to:</w:t>
            </w:r>
          </w:p>
        </w:tc>
        <w:tc>
          <w:tcPr>
            <w:tcW w:w="6312" w:type="dxa"/>
            <w:tcBorders>
              <w:top w:val="nil"/>
              <w:left w:val="nil"/>
              <w:bottom w:val="nil"/>
              <w:right w:val="nil"/>
            </w:tcBorders>
            <w:tcMar>
              <w:top w:w="0" w:type="dxa"/>
              <w:left w:w="62" w:type="dxa"/>
              <w:bottom w:w="0" w:type="dxa"/>
              <w:right w:w="62" w:type="dxa"/>
            </w:tcMar>
          </w:tcPr>
          <w:p w:rsidR="00000000" w:rsidRPr="003D63B2" w:rsidP="003D63B2">
            <w:pPr>
              <w:pStyle w:val="ListBullet"/>
            </w:pPr>
            <w:r w:rsidRPr="003D63B2">
              <w:t>identify standard controls for routine hazards.</w:t>
            </w:r>
          </w:p>
          <w:p w:rsidR="00000000" w:rsidRPr="003D63B2" w:rsidP="003D63B2">
            <w:pPr>
              <w:pStyle w:val="BodyText"/>
            </w:pPr>
          </w:p>
        </w:tc>
      </w:tr>
    </w:tbl>
    <w:p w:rsidR="00000000" w:rsidRPr="003D63B2" w:rsidP="003D63B2">
      <w:pPr>
        <w:pStyle w:val="BodyText"/>
      </w:pPr>
    </w:p>
    <w:p w:rsidR="00000000" w:rsidRPr="003D63B2" w:rsidP="003D63B2">
      <w:pPr>
        <w:pStyle w:val="AllowPageBreak"/>
      </w:pPr>
    </w:p>
    <w:p w:rsidR="00000000" w:rsidRPr="003D63B2" w:rsidP="003D63B2">
      <w:pPr>
        <w:pStyle w:val="Heading1"/>
      </w:pPr>
      <w:bookmarkStart w:id="8" w:name="O_829396"/>
      <w:bookmarkEnd w:id="8"/>
      <w:r w:rsidRPr="003D63B2">
        <w:t>Range of Conditions</w:t>
      </w:r>
    </w:p>
    <w:tbl>
      <w:tblPr>
        <w:tblW w:w="0" w:type="auto"/>
        <w:tblLayout w:type="fixed"/>
        <w:tblCellMar>
          <w:left w:w="62" w:type="dxa"/>
          <w:right w:w="62" w:type="dxa"/>
        </w:tblCellMar>
        <w:tblLook w:val="0000"/>
      </w:tblPr>
      <w:tblGrid>
        <w:gridCol w:w="2364"/>
        <w:gridCol w:w="6708"/>
      </w:tblGrid>
      <w:tr w:rsidTr="003D63B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D63B2">
            <w:pPr>
              <w:pStyle w:val="BodyText"/>
              <w:rPr>
                <w:lang w:val="en-NZ"/>
              </w:rPr>
            </w:pPr>
            <w:r w:rsidRPr="003D63B2">
              <w:t>This sec</w:t>
            </w:r>
            <w:r w:rsidRPr="003D63B2">
              <w:t>tion specifies work environments and conditions that may affect performance. Essential operating conditions that may be present (depending on the work situation, needs of the candidate, accessibility of the item, and local industry and regional contexts) a</w:t>
            </w:r>
            <w:r w:rsidRPr="003D63B2">
              <w:t>re included. Bold italicised wording, if used in the performance criteria, is detailed below.</w:t>
            </w:r>
          </w:p>
        </w:tc>
      </w:tr>
      <w:tr w:rsidTr="003D63B2">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3D63B2">
            <w:pPr>
              <w:pStyle w:val="BodyText"/>
              <w:rPr>
                <w:lang w:val="en-NZ"/>
              </w:rPr>
            </w:pPr>
            <w:r w:rsidRPr="003D63B2">
              <w:rPr>
                <w:rStyle w:val="BoldandItalics"/>
              </w:rPr>
              <w:t>Safe work method statement</w:t>
            </w:r>
            <w:r w:rsidRPr="003D63B2">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3D63B2" w:rsidP="003D63B2">
            <w:pPr>
              <w:pStyle w:val="ListBullet"/>
            </w:pPr>
            <w:r w:rsidRPr="003D63B2">
              <w:t>establishing exclusion areas using signage and barricades</w:t>
            </w:r>
          </w:p>
          <w:p w:rsidR="00000000" w:rsidRPr="003D63B2" w:rsidP="003D63B2">
            <w:pPr>
              <w:pStyle w:val="ListBullet"/>
            </w:pPr>
            <w:r w:rsidRPr="003D63B2">
              <w:t>identifying hazards and assessing risks associated with work site and job tasks</w:t>
            </w:r>
          </w:p>
          <w:p w:rsidR="00000000" w:rsidRPr="003D63B2" w:rsidP="003D63B2">
            <w:pPr>
              <w:pStyle w:val="ListBullet"/>
            </w:pPr>
            <w:r w:rsidRPr="003D63B2">
              <w:t>health and safety and environmental requirements mandated by regulatory authorities, work site safety plan, and workplace procedures</w:t>
            </w:r>
          </w:p>
          <w:p w:rsidR="00000000" w:rsidRPr="003D63B2" w:rsidP="003D63B2">
            <w:pPr>
              <w:pStyle w:val="ListBullet"/>
            </w:pPr>
            <w:r w:rsidRPr="003D63B2">
              <w:t>identifying risk control measures to be imp</w:t>
            </w:r>
            <w:r w:rsidRPr="003D63B2">
              <w:t>lemented for job tasks</w:t>
            </w:r>
          </w:p>
          <w:p w:rsidR="00000000" w:rsidRPr="003D63B2" w:rsidP="003D63B2">
            <w:pPr>
              <w:pStyle w:val="ListBullet"/>
            </w:pPr>
            <w:r w:rsidRPr="003D63B2">
              <w:t>safe operating procedures for:</w:t>
            </w:r>
          </w:p>
          <w:p w:rsidR="00000000" w:rsidRPr="003D63B2" w:rsidP="003D63B2">
            <w:pPr>
              <w:pStyle w:val="ListBullet2"/>
            </w:pPr>
            <w:r w:rsidRPr="003D63B2">
              <w:t>accessing, moving within, and leaving work site</w:t>
            </w:r>
          </w:p>
          <w:p w:rsidR="00000000" w:rsidRPr="003D63B2" w:rsidP="003D63B2">
            <w:pPr>
              <w:pStyle w:val="ListBullet2"/>
            </w:pPr>
            <w:r w:rsidRPr="003D63B2">
              <w:t>moving and placing tools, equipment and materials</w:t>
            </w:r>
          </w:p>
          <w:p w:rsidR="00000000" w:rsidRPr="003D63B2" w:rsidP="003D63B2">
            <w:pPr>
              <w:pStyle w:val="ListBullet"/>
            </w:pPr>
            <w:r w:rsidRPr="003D63B2">
              <w:t xml:space="preserve">using tools and equipment, including PPE, prescribed by legislation, regulations, and work site </w:t>
            </w:r>
            <w:r w:rsidRPr="003D63B2">
              <w:t>and workplace requirements</w:t>
            </w:r>
          </w:p>
          <w:p w:rsidR="00000000" w:rsidRPr="003D63B2" w:rsidP="003D63B2">
            <w:pPr>
              <w:pStyle w:val="ListBullet"/>
            </w:pPr>
            <w:r w:rsidRPr="003D63B2">
              <w:t>using tools and equipment at heights.</w:t>
            </w:r>
          </w:p>
          <w:p w:rsidR="00000000" w:rsidP="003D63B2">
            <w:pPr>
              <w:pStyle w:val="BodyText"/>
              <w:rPr>
                <w:lang w:val="en-NZ"/>
              </w:rPr>
            </w:pPr>
          </w:p>
        </w:tc>
      </w:tr>
      <w:tr w:rsidTr="003D63B2">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3D63B2">
            <w:pPr>
              <w:pStyle w:val="BodyText"/>
              <w:rPr>
                <w:lang w:val="en-NZ"/>
              </w:rPr>
            </w:pPr>
            <w:r w:rsidRPr="003D63B2">
              <w:rPr>
                <w:rStyle w:val="BoldandItalics"/>
              </w:rPr>
              <w:t>Hazards</w:t>
            </w:r>
            <w:r w:rsidRPr="003D63B2">
              <w:t xml:space="preserve"> to be considered must involve:</w:t>
            </w:r>
          </w:p>
        </w:tc>
        <w:tc>
          <w:tcPr>
            <w:tcW w:w="6708" w:type="dxa"/>
            <w:tcBorders>
              <w:top w:val="nil"/>
              <w:left w:val="nil"/>
              <w:bottom w:val="nil"/>
              <w:right w:val="nil"/>
            </w:tcBorders>
            <w:tcMar>
              <w:top w:w="0" w:type="dxa"/>
              <w:left w:w="62" w:type="dxa"/>
              <w:bottom w:w="0" w:type="dxa"/>
              <w:right w:w="62" w:type="dxa"/>
            </w:tcMar>
          </w:tcPr>
          <w:p w:rsidR="00000000" w:rsidRPr="003D63B2" w:rsidP="003D63B2">
            <w:pPr>
              <w:pStyle w:val="ListBullet"/>
            </w:pPr>
            <w:r w:rsidRPr="003D63B2">
              <w:t>air temperature</w:t>
            </w:r>
          </w:p>
          <w:p w:rsidR="00000000" w:rsidRPr="003D63B2" w:rsidP="003D63B2">
            <w:pPr>
              <w:pStyle w:val="ListBullet"/>
            </w:pPr>
            <w:r w:rsidRPr="003D63B2">
              <w:t>construction activity involving other workers and contractors</w:t>
            </w:r>
          </w:p>
          <w:p w:rsidR="00000000" w:rsidRPr="003D63B2" w:rsidP="003D63B2">
            <w:pPr>
              <w:pStyle w:val="ListBullet"/>
            </w:pPr>
            <w:r w:rsidRPr="003D63B2">
              <w:t>dust and vapours</w:t>
            </w:r>
          </w:p>
          <w:p w:rsidR="00000000" w:rsidRPr="003D63B2" w:rsidP="003D63B2">
            <w:pPr>
              <w:pStyle w:val="ListBullet"/>
            </w:pPr>
            <w:r w:rsidRPr="003D63B2">
              <w:t>electrical equipment</w:t>
            </w:r>
          </w:p>
          <w:p w:rsidR="00000000" w:rsidRPr="003D63B2" w:rsidP="003D63B2">
            <w:pPr>
              <w:pStyle w:val="ListBullet"/>
            </w:pPr>
            <w:r w:rsidRPr="003D63B2">
              <w:t>energy sources</w:t>
            </w:r>
          </w:p>
          <w:p w:rsidR="00000000" w:rsidRPr="003D63B2" w:rsidP="003D63B2">
            <w:pPr>
              <w:pStyle w:val="ListBullet"/>
            </w:pPr>
            <w:r w:rsidRPr="003D63B2">
              <w:t>equipment and materials</w:t>
            </w:r>
          </w:p>
          <w:p w:rsidR="00000000" w:rsidRPr="003D63B2" w:rsidP="003D63B2">
            <w:pPr>
              <w:pStyle w:val="ListBullet"/>
            </w:pPr>
            <w:r w:rsidRPr="003D63B2">
              <w:t>hazardous materials</w:t>
            </w:r>
          </w:p>
          <w:p w:rsidR="00000000" w:rsidRPr="003D63B2" w:rsidP="003D63B2">
            <w:pPr>
              <w:pStyle w:val="ListBullet"/>
            </w:pPr>
            <w:r w:rsidRPr="003D63B2">
              <w:t>light</w:t>
            </w:r>
          </w:p>
          <w:p w:rsidR="00000000" w:rsidRPr="003D63B2" w:rsidP="003D63B2">
            <w:pPr>
              <w:pStyle w:val="ListBullet"/>
            </w:pPr>
            <w:r w:rsidRPr="003D63B2">
              <w:t>manual handling</w:t>
            </w:r>
          </w:p>
          <w:p w:rsidR="00000000" w:rsidRPr="003D63B2" w:rsidP="003D63B2">
            <w:pPr>
              <w:pStyle w:val="ListBullet"/>
            </w:pPr>
            <w:r w:rsidRPr="003D63B2">
              <w:t>moisture</w:t>
            </w:r>
          </w:p>
          <w:p w:rsidR="00000000" w:rsidRPr="003D63B2" w:rsidP="003D63B2">
            <w:pPr>
              <w:pStyle w:val="ListBullet"/>
            </w:pPr>
            <w:r w:rsidRPr="003D63B2">
              <w:t>noise</w:t>
            </w:r>
          </w:p>
          <w:p w:rsidR="00000000" w:rsidRPr="003D63B2" w:rsidP="003D63B2">
            <w:pPr>
              <w:pStyle w:val="ListBullet"/>
            </w:pPr>
            <w:r w:rsidRPr="003D63B2">
              <w:t>stationary and moving plant</w:t>
            </w:r>
          </w:p>
          <w:p w:rsidR="00000000" w:rsidRPr="003D63B2" w:rsidP="003D63B2">
            <w:pPr>
              <w:pStyle w:val="ListBullet"/>
            </w:pPr>
            <w:r w:rsidRPr="003D63B2">
              <w:t>working at heights.</w:t>
            </w:r>
          </w:p>
          <w:p w:rsidR="00000000" w:rsidP="003D63B2">
            <w:pPr>
              <w:pStyle w:val="BodyText"/>
              <w:rPr>
                <w:lang w:val="en-NZ"/>
              </w:rPr>
            </w:pPr>
          </w:p>
        </w:tc>
      </w:tr>
      <w:tr w:rsidTr="003D63B2">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3D63B2">
            <w:pPr>
              <w:pStyle w:val="BodyText"/>
              <w:rPr>
                <w:lang w:val="en-NZ"/>
              </w:rPr>
            </w:pPr>
            <w:r w:rsidRPr="003D63B2">
              <w:rPr>
                <w:rStyle w:val="BoldandItalics"/>
              </w:rPr>
              <w:t>Safety of scaffolding</w:t>
            </w:r>
            <w:r w:rsidRPr="003D63B2">
              <w:t xml:space="preserve"> must include checking for:</w:t>
            </w:r>
          </w:p>
        </w:tc>
        <w:tc>
          <w:tcPr>
            <w:tcW w:w="6708" w:type="dxa"/>
            <w:tcBorders>
              <w:top w:val="nil"/>
              <w:left w:val="nil"/>
              <w:bottom w:val="nil"/>
              <w:right w:val="nil"/>
            </w:tcBorders>
            <w:tcMar>
              <w:top w:w="0" w:type="dxa"/>
              <w:left w:w="62" w:type="dxa"/>
              <w:bottom w:w="0" w:type="dxa"/>
              <w:right w:w="62" w:type="dxa"/>
            </w:tcMar>
          </w:tcPr>
          <w:p w:rsidR="00000000" w:rsidRPr="003D63B2" w:rsidP="003D63B2">
            <w:pPr>
              <w:pStyle w:val="ListBullet"/>
            </w:pPr>
            <w:r w:rsidRPr="003D63B2">
              <w:t>access gate</w:t>
            </w:r>
          </w:p>
          <w:p w:rsidR="00000000" w:rsidRPr="003D63B2" w:rsidP="003D63B2">
            <w:pPr>
              <w:pStyle w:val="ListBullet"/>
            </w:pPr>
            <w:r w:rsidRPr="003D63B2">
              <w:t>bracing</w:t>
            </w:r>
          </w:p>
          <w:p w:rsidR="00000000" w:rsidRPr="003D63B2" w:rsidP="003D63B2">
            <w:pPr>
              <w:pStyle w:val="ListBullet"/>
            </w:pPr>
            <w:r w:rsidRPr="003D63B2">
              <w:t>condition of scaffold frame and planks</w:t>
            </w:r>
          </w:p>
          <w:p w:rsidR="00000000" w:rsidRPr="003D63B2" w:rsidP="003D63B2">
            <w:pPr>
              <w:pStyle w:val="ListBullet"/>
            </w:pPr>
            <w:r w:rsidRPr="003D63B2">
              <w:t>guard rails</w:t>
            </w:r>
          </w:p>
          <w:p w:rsidR="00000000" w:rsidRPr="003D63B2" w:rsidP="003D63B2">
            <w:pPr>
              <w:pStyle w:val="ListBullet"/>
            </w:pPr>
            <w:r w:rsidRPr="003D63B2">
              <w:t>locking pins for castors, if present</w:t>
            </w:r>
          </w:p>
          <w:p w:rsidR="00000000" w:rsidRPr="003D63B2" w:rsidP="003D63B2">
            <w:pPr>
              <w:pStyle w:val="ListBullet"/>
            </w:pPr>
            <w:r w:rsidRPr="003D63B2">
              <w:t>mid-rails</w:t>
            </w:r>
          </w:p>
          <w:p w:rsidR="00000000" w:rsidRPr="003D63B2" w:rsidP="003D63B2">
            <w:pPr>
              <w:pStyle w:val="ListBullet"/>
            </w:pPr>
            <w:r w:rsidRPr="003D63B2">
              <w:t>sheeting, if required</w:t>
            </w:r>
          </w:p>
          <w:p w:rsidR="00000000" w:rsidRPr="003D63B2" w:rsidP="003D63B2">
            <w:pPr>
              <w:pStyle w:val="ListBullet"/>
            </w:pPr>
            <w:r w:rsidRPr="003D63B2">
              <w:t>toe boards.</w:t>
            </w:r>
          </w:p>
          <w:p w:rsidR="00000000" w:rsidRPr="003D63B2" w:rsidP="003D63B2">
            <w:pPr>
              <w:pStyle w:val="BodyText"/>
            </w:pPr>
          </w:p>
        </w:tc>
      </w:tr>
    </w:tbl>
    <w:p w:rsidR="00000000" w:rsidRPr="003D63B2" w:rsidP="003D63B2">
      <w:pPr>
        <w:pStyle w:val="BodyText"/>
      </w:pPr>
    </w:p>
    <w:p w:rsidR="00000000" w:rsidRPr="003D63B2" w:rsidP="003D63B2">
      <w:pPr>
        <w:pStyle w:val="AllowPageBreak"/>
      </w:pPr>
    </w:p>
    <w:p w:rsidR="00000000" w:rsidRPr="003D63B2" w:rsidP="003D63B2">
      <w:pPr>
        <w:pStyle w:val="Heading1"/>
      </w:pPr>
      <w:bookmarkStart w:id="9" w:name="O_829395"/>
      <w:bookmarkEnd w:id="9"/>
      <w:r w:rsidRPr="003D63B2">
        <w:t>Unit Mapping Information</w:t>
      </w:r>
    </w:p>
    <w:p w:rsidR="00000000" w:rsidRPr="003D63B2" w:rsidP="00B80165">
      <w:pPr>
        <w:pStyle w:val="BodyText"/>
      </w:pPr>
      <w:r w:rsidRPr="003D63B2">
        <w:t>No equivalent unit.</w:t>
      </w:r>
    </w:p>
    <w:p w:rsidR="00000000" w:rsidRPr="003D63B2" w:rsidP="003D63B2">
      <w:pPr>
        <w:pStyle w:val="Heading1"/>
      </w:pPr>
      <w:bookmarkStart w:id="10" w:name="O_829388"/>
      <w:bookmarkEnd w:id="10"/>
      <w:r w:rsidRPr="003D63B2">
        <w:t>Links</w:t>
      </w:r>
    </w:p>
    <w:p w:rsidR="00000000" w:rsidRPr="003D63B2" w:rsidP="00B80165">
      <w:pPr>
        <w:pStyle w:val="BodyText"/>
      </w:pPr>
      <w:r w:rsidRPr="003D63B2">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1D709C">
        <w:rPr>
          <w:rStyle w:val="Hyperlink"/>
        </w:rPr>
        <w:t>https://vetnet.gov.au/Pages/TrainingDocs.aspx?q=7e15fa6a-68b8-4097-b099-030a5569b1ad</w:t>
      </w:r>
      <w:r>
        <w:fldChar w:fldCharType="end"/>
      </w:r>
    </w:p>
    <w:p w:rsidR="00000000" w:rsidRPr="003D63B2" w:rsidP="00B80165">
      <w:pPr>
        <w:pStyle w:val="BodyText"/>
        <w:sectPr w:rsidSect="003D63B2">
          <w:headerReference w:type="default" r:id="rId10"/>
          <w:footerReference w:type="default" r:id="rId11"/>
          <w:pgSz w:w="11908" w:h="16833"/>
          <w:pgMar w:top="1702" w:right="1418" w:bottom="1702" w:left="1418" w:header="992" w:footer="992" w:gutter="0"/>
          <w:cols w:space="720"/>
          <w:noEndnote/>
          <w:docGrid w:linePitch="299"/>
        </w:sectPr>
      </w:pPr>
    </w:p>
    <w:p w:rsidR="00000000" w:rsidRPr="003D63B2" w:rsidP="003D63B2">
      <w:pPr>
        <w:pStyle w:val="SuperHeading"/>
      </w:pPr>
      <w:r w:rsidRPr="003D63B2">
        <w:t xml:space="preserve">Assessment </w:t>
      </w:r>
      <w:r w:rsidRPr="003D63B2">
        <w:t>Requirements for CPCCCM2010 Work safely on scaffolding higher than two metres</w:t>
      </w:r>
    </w:p>
    <w:p w:rsidR="00000000" w:rsidRPr="003D63B2" w:rsidP="003D63B2">
      <w:pPr>
        <w:pStyle w:val="Heading1"/>
      </w:pPr>
      <w:bookmarkStart w:id="11" w:name="O_829390"/>
      <w:bookmarkEnd w:id="11"/>
      <w:r w:rsidRPr="003D63B2">
        <w:t>Modification History</w:t>
      </w:r>
    </w:p>
    <w:p w:rsidR="00000000" w:rsidRPr="003D63B2" w:rsidP="00B80165">
      <w:pPr>
        <w:pStyle w:val="BodyText"/>
      </w:pPr>
      <w:r w:rsidRPr="003D63B2">
        <w:t>Release 1.</w:t>
      </w:r>
    </w:p>
    <w:p w:rsidR="00000000" w:rsidRPr="003D63B2" w:rsidP="00B80165">
      <w:pPr>
        <w:pStyle w:val="BodyText"/>
      </w:pPr>
      <w:r w:rsidRPr="003D63B2">
        <w:t>This version first released with CPC Construction, Plumbing and Services Training Package Version 2.</w:t>
      </w:r>
    </w:p>
    <w:p w:rsidR="00000000" w:rsidRPr="003D63B2" w:rsidP="003D63B2">
      <w:pPr>
        <w:pStyle w:val="Heading1"/>
      </w:pPr>
      <w:bookmarkStart w:id="12" w:name="O_829393"/>
      <w:bookmarkEnd w:id="12"/>
      <w:r w:rsidRPr="003D63B2">
        <w:t>Performance</w:t>
      </w:r>
      <w:r w:rsidRPr="003D63B2">
        <w:t xml:space="preserve"> Evidence</w:t>
      </w:r>
    </w:p>
    <w:p w:rsidR="00000000" w:rsidRPr="003D63B2" w:rsidP="00B80165">
      <w:pPr>
        <w:pStyle w:val="BodyText"/>
      </w:pPr>
      <w:r w:rsidRPr="003D63B2">
        <w:t>A person demonstrating competency in this unit must satisfy all of the elements, performance criteria and foundation skills of this unit. The person must also identify, assess and manage risks while completing three different work tasks on scaffo</w:t>
      </w:r>
      <w:r w:rsidRPr="003D63B2">
        <w:t xml:space="preserve">lding higher than two metres at different locations and in different conditions. </w:t>
      </w:r>
    </w:p>
    <w:p w:rsidR="00000000" w:rsidRPr="003D63B2" w:rsidP="00B80165">
      <w:pPr>
        <w:pStyle w:val="BodyText"/>
      </w:pPr>
      <w:r w:rsidRPr="003D63B2">
        <w:t>The work tasks conducted must involve transporting tools, equipment and materials to the work site; completing the task using the tools, equipment and materials; and then re</w:t>
      </w:r>
      <w:r w:rsidRPr="003D63B2">
        <w:t>turning them to ground level.</w:t>
      </w:r>
    </w:p>
    <w:p w:rsidR="00000000" w:rsidRPr="003D63B2" w:rsidP="00B80165">
      <w:pPr>
        <w:pStyle w:val="BodyText"/>
      </w:pPr>
      <w:r w:rsidRPr="003D63B2">
        <w:t>In doing the above work, the person must:</w:t>
      </w:r>
    </w:p>
    <w:p w:rsidR="00000000" w:rsidRPr="003D63B2" w:rsidP="003D63B2">
      <w:pPr>
        <w:pStyle w:val="ListBullet"/>
      </w:pPr>
      <w:r w:rsidRPr="003D63B2">
        <w:t>locate, interpret and apply relevant job task information, standards and specifications</w:t>
      </w:r>
    </w:p>
    <w:p w:rsidR="00000000" w:rsidRPr="003D63B2" w:rsidP="003D63B2">
      <w:pPr>
        <w:pStyle w:val="ListBullet"/>
      </w:pPr>
      <w:r w:rsidRPr="003D63B2">
        <w:t>comply with site safety plan and safe work method statements (SWMS) for access to the work site and completion of the job tasks at heights</w:t>
      </w:r>
    </w:p>
    <w:p w:rsidR="00000000" w:rsidRPr="003D63B2" w:rsidP="003D63B2">
      <w:pPr>
        <w:pStyle w:val="ListBullet"/>
      </w:pPr>
      <w:r w:rsidRPr="003D63B2">
        <w:t>safely and effectively use tools, plant and equipment</w:t>
      </w:r>
    </w:p>
    <w:p w:rsidR="00000000" w:rsidRPr="003D63B2" w:rsidP="003D63B2">
      <w:pPr>
        <w:pStyle w:val="ListBullet"/>
      </w:pPr>
      <w:r w:rsidRPr="003D63B2">
        <w:t>communicate and work effectively and safely with others</w:t>
      </w:r>
    </w:p>
    <w:p w:rsidR="00000000" w:rsidRPr="003D63B2" w:rsidP="003D63B2">
      <w:pPr>
        <w:pStyle w:val="ListBullet"/>
      </w:pPr>
      <w:r w:rsidRPr="003D63B2">
        <w:t xml:space="preserve">select </w:t>
      </w:r>
      <w:r w:rsidRPr="003D63B2">
        <w:t>and use height access work methods, including inspecting scaffold for faults</w:t>
      </w:r>
    </w:p>
    <w:p w:rsidR="00000000" w:rsidRPr="003D63B2" w:rsidP="003D63B2">
      <w:pPr>
        <w:pStyle w:val="ListBullet"/>
      </w:pPr>
      <w:r w:rsidRPr="003D63B2">
        <w:t>apply knowledge of construction materials to identify:</w:t>
      </w:r>
    </w:p>
    <w:p w:rsidR="00000000" w:rsidRPr="003D63B2" w:rsidP="003D63B2">
      <w:pPr>
        <w:pStyle w:val="ListBullet2"/>
      </w:pPr>
      <w:r w:rsidRPr="003D63B2">
        <w:t>manual handling risks</w:t>
      </w:r>
    </w:p>
    <w:p w:rsidR="00000000" w:rsidRPr="003D63B2" w:rsidP="003D63B2">
      <w:pPr>
        <w:pStyle w:val="ListBullet2"/>
      </w:pPr>
      <w:r w:rsidRPr="003D63B2">
        <w:t>types of lifting and support structures approved for use</w:t>
      </w:r>
    </w:p>
    <w:p w:rsidR="00000000" w:rsidRPr="003D63B2" w:rsidP="003D63B2">
      <w:pPr>
        <w:pStyle w:val="ListBullet"/>
      </w:pPr>
      <w:r w:rsidRPr="003D63B2">
        <w:t>modify work activities to cater for variati</w:t>
      </w:r>
      <w:r w:rsidRPr="003D63B2">
        <w:t>ons in work site procedures, contexts and environment to work safely at heights</w:t>
      </w:r>
    </w:p>
    <w:p w:rsidR="00000000" w:rsidRPr="003D63B2" w:rsidP="003D63B2">
      <w:pPr>
        <w:pStyle w:val="ListBullet"/>
      </w:pPr>
      <w:r w:rsidRPr="003D63B2">
        <w:t>use safe handling requirements, based on information provided for equipment, products and materials.</w:t>
      </w:r>
    </w:p>
    <w:p w:rsidR="00000000" w:rsidRPr="003D63B2" w:rsidP="003D63B2">
      <w:pPr>
        <w:pStyle w:val="AllowPageBreak"/>
      </w:pPr>
    </w:p>
    <w:p w:rsidR="00000000" w:rsidRPr="003D63B2" w:rsidP="003D63B2">
      <w:pPr>
        <w:pStyle w:val="Heading1"/>
      </w:pPr>
      <w:bookmarkStart w:id="13" w:name="O_829392"/>
      <w:bookmarkEnd w:id="13"/>
      <w:r w:rsidRPr="003D63B2">
        <w:t>Knowledge Evidence</w:t>
      </w:r>
    </w:p>
    <w:p w:rsidR="00000000" w:rsidRPr="003D63B2" w:rsidP="00B80165">
      <w:pPr>
        <w:pStyle w:val="BodyText"/>
      </w:pPr>
      <w:r w:rsidRPr="003D63B2">
        <w:t>A person demonstrating competency in th</w:t>
      </w:r>
      <w:r w:rsidRPr="003D63B2">
        <w:t>is unit must demonstrate knowledge of:</w:t>
      </w:r>
    </w:p>
    <w:p w:rsidR="00000000" w:rsidRPr="003D63B2" w:rsidP="003D63B2">
      <w:pPr>
        <w:pStyle w:val="ListBullet"/>
      </w:pPr>
      <w:r w:rsidRPr="003D63B2">
        <w:t>construction terminology relevant to working at heights</w:t>
      </w:r>
    </w:p>
    <w:p w:rsidR="00000000" w:rsidRPr="003D63B2" w:rsidP="003D63B2">
      <w:pPr>
        <w:pStyle w:val="ListBullet"/>
      </w:pPr>
      <w:r w:rsidRPr="003D63B2">
        <w:t xml:space="preserve">contents of and terms used in job safety analyses (JSA) and SWMS for accessing work sites at heights and for completing job tasks while working at heights </w:t>
      </w:r>
    </w:p>
    <w:p w:rsidR="00000000" w:rsidRPr="003D63B2" w:rsidP="003D63B2">
      <w:pPr>
        <w:pStyle w:val="ListBullet"/>
      </w:pPr>
      <w:r w:rsidRPr="003D63B2">
        <w:t xml:space="preserve">contents of and terms used in safety data sheets (SDS) relevant to the use of tools, equipment and materials </w:t>
      </w:r>
    </w:p>
    <w:p w:rsidR="00000000" w:rsidRPr="003D63B2" w:rsidP="003D63B2">
      <w:pPr>
        <w:pStyle w:val="ListBullet"/>
      </w:pPr>
      <w:r w:rsidRPr="003D63B2">
        <w:t>emergency procedures relevant to working on scaffolding higher than two metres</w:t>
      </w:r>
    </w:p>
    <w:p w:rsidR="00000000" w:rsidRPr="003D63B2" w:rsidP="003D63B2">
      <w:pPr>
        <w:pStyle w:val="ListBullet"/>
      </w:pPr>
      <w:r w:rsidRPr="003D63B2">
        <w:t>quality requirements relating to the set-up of equipment for access</w:t>
      </w:r>
      <w:r w:rsidRPr="003D63B2">
        <w:t>ing heights, and for job tasks completed while working at heights</w:t>
      </w:r>
    </w:p>
    <w:p w:rsidR="00000000" w:rsidRPr="003D63B2" w:rsidP="003D63B2">
      <w:pPr>
        <w:pStyle w:val="ListBullet"/>
      </w:pPr>
      <w:r w:rsidRPr="003D63B2">
        <w:t>requirements of Australian standards and codes of practice governing work at heights, including:</w:t>
      </w:r>
    </w:p>
    <w:p w:rsidR="00000000" w:rsidRPr="003D63B2" w:rsidP="003D63B2">
      <w:pPr>
        <w:pStyle w:val="ListBullet2"/>
      </w:pPr>
      <w:r w:rsidRPr="003D63B2">
        <w:t>AS 6001 Working platforms for housing construction</w:t>
      </w:r>
    </w:p>
    <w:p w:rsidR="00000000" w:rsidRPr="003D63B2" w:rsidP="003D63B2">
      <w:pPr>
        <w:pStyle w:val="ListBullet2"/>
      </w:pPr>
      <w:r w:rsidRPr="003D63B2">
        <w:t>AS/NZS 1576 Scaffolding – General require</w:t>
      </w:r>
      <w:r w:rsidRPr="003D63B2">
        <w:t>ments</w:t>
      </w:r>
    </w:p>
    <w:p w:rsidR="00000000" w:rsidRPr="003D63B2" w:rsidP="003D63B2">
      <w:pPr>
        <w:pStyle w:val="ListBullet2"/>
      </w:pPr>
      <w:r w:rsidRPr="003D63B2">
        <w:t>AS/NZS 4576 Guidelines for scaffolding</w:t>
      </w:r>
    </w:p>
    <w:p w:rsidR="00000000" w:rsidRPr="003D63B2" w:rsidP="003D63B2">
      <w:pPr>
        <w:pStyle w:val="ListBullet2"/>
      </w:pPr>
      <w:r w:rsidRPr="003D63B2">
        <w:t>Safe Work Australia Model Code of Practice – Preventing Falls in Housing Construction</w:t>
      </w:r>
    </w:p>
    <w:p w:rsidR="00000000" w:rsidRPr="003D63B2" w:rsidP="003D63B2">
      <w:pPr>
        <w:pStyle w:val="ListBullet"/>
      </w:pPr>
      <w:r w:rsidRPr="003D63B2">
        <w:t>types, characteristics, uses and limitations of plant, tools and equipment, including personal protective equipment (PPE), u</w:t>
      </w:r>
      <w:r w:rsidRPr="003D63B2">
        <w:t>sed for accessing work sites over two metres, and for applying safe work methods to complete job tasks while working at heights</w:t>
      </w:r>
    </w:p>
    <w:p w:rsidR="00000000" w:rsidRPr="003D63B2" w:rsidP="003D63B2">
      <w:pPr>
        <w:pStyle w:val="ListBullet"/>
      </w:pPr>
      <w:r w:rsidRPr="003D63B2">
        <w:t>common faults in scaffolding and access equipment</w:t>
      </w:r>
    </w:p>
    <w:p w:rsidR="00000000" w:rsidRPr="003D63B2" w:rsidP="003D63B2">
      <w:pPr>
        <w:pStyle w:val="ListBullet"/>
      </w:pPr>
      <w:r w:rsidRPr="003D63B2">
        <w:t xml:space="preserve">workplace and work site health and safety requirements relevant to working at </w:t>
      </w:r>
      <w:r w:rsidRPr="003D63B2">
        <w:t>heights.</w:t>
      </w:r>
    </w:p>
    <w:p w:rsidR="00000000" w:rsidRPr="003D63B2" w:rsidP="003D63B2">
      <w:pPr>
        <w:pStyle w:val="AllowPageBreak"/>
      </w:pPr>
    </w:p>
    <w:p w:rsidR="00000000" w:rsidRPr="003D63B2" w:rsidP="003D63B2">
      <w:pPr>
        <w:pStyle w:val="Heading1"/>
      </w:pPr>
      <w:bookmarkStart w:id="14" w:name="O_829391"/>
      <w:bookmarkEnd w:id="14"/>
      <w:r w:rsidRPr="003D63B2">
        <w:t>Assessment Conditions</w:t>
      </w:r>
    </w:p>
    <w:p w:rsidR="00000000" w:rsidRPr="003D63B2" w:rsidP="00B80165">
      <w:pPr>
        <w:pStyle w:val="BodyText"/>
      </w:pPr>
      <w:r w:rsidRPr="003D63B2">
        <w:t>Suitable assessment of performance requires:</w:t>
      </w:r>
    </w:p>
    <w:p w:rsidR="00000000" w:rsidRPr="003D63B2" w:rsidP="003D63B2">
      <w:pPr>
        <w:pStyle w:val="ListBullet"/>
      </w:pPr>
      <w:r w:rsidRPr="003D63B2">
        <w:t>equipment:</w:t>
      </w:r>
    </w:p>
    <w:p w:rsidR="00000000" w:rsidRPr="003D63B2" w:rsidP="003D63B2">
      <w:pPr>
        <w:pStyle w:val="ListBullet2"/>
      </w:pPr>
      <w:r w:rsidRPr="003D63B2">
        <w:t>scaffolding erected for access to a construction work site higher than two metres</w:t>
      </w:r>
    </w:p>
    <w:p w:rsidR="00000000" w:rsidRPr="003D63B2" w:rsidP="003D63B2">
      <w:pPr>
        <w:pStyle w:val="ListBullet2"/>
      </w:pPr>
      <w:r w:rsidRPr="003D63B2">
        <w:t>access equipment to move self, tools, equip</w:t>
      </w:r>
      <w:r w:rsidRPr="003D63B2">
        <w:t>ment and materials to working platforms, including ladders and hoists</w:t>
      </w:r>
    </w:p>
    <w:p w:rsidR="00000000" w:rsidRPr="003D63B2" w:rsidP="003D63B2">
      <w:pPr>
        <w:pStyle w:val="ListBullet2"/>
      </w:pPr>
      <w:r w:rsidRPr="003D63B2">
        <w:t>tools, equipment and materials to conduct the work tasks specified in the performance evidence</w:t>
      </w:r>
    </w:p>
    <w:p w:rsidR="00000000" w:rsidRPr="003D63B2" w:rsidP="003D63B2">
      <w:pPr>
        <w:pStyle w:val="ListBullet2"/>
      </w:pPr>
      <w:r w:rsidRPr="003D63B2">
        <w:t>PPE relevant to task</w:t>
      </w:r>
    </w:p>
    <w:p w:rsidR="00000000" w:rsidRPr="003D63B2" w:rsidP="003D63B2">
      <w:pPr>
        <w:pStyle w:val="ListBullet"/>
      </w:pPr>
      <w:r w:rsidRPr="003D63B2">
        <w:t>materials:</w:t>
      </w:r>
    </w:p>
    <w:p w:rsidR="00000000" w:rsidRPr="003D63B2" w:rsidP="003D63B2">
      <w:pPr>
        <w:pStyle w:val="ListBullet2"/>
      </w:pPr>
      <w:r w:rsidRPr="003D63B2">
        <w:t>materials required to perform three work tasks at height</w:t>
      </w:r>
    </w:p>
    <w:p w:rsidR="00000000" w:rsidRPr="003D63B2" w:rsidP="003D63B2">
      <w:pPr>
        <w:pStyle w:val="ListBullet"/>
      </w:pPr>
      <w:r w:rsidRPr="003D63B2">
        <w:t>contingencies:</w:t>
      </w:r>
    </w:p>
    <w:p w:rsidR="00000000" w:rsidRPr="003D63B2" w:rsidP="003D63B2">
      <w:pPr>
        <w:pStyle w:val="ListBullet2"/>
      </w:pPr>
      <w:r w:rsidRPr="003D63B2">
        <w:t>faults in scaffolding construction and access equipment</w:t>
      </w:r>
    </w:p>
    <w:p w:rsidR="00000000" w:rsidRPr="003D63B2" w:rsidP="003D63B2">
      <w:pPr>
        <w:pStyle w:val="ListBullet"/>
      </w:pPr>
      <w:r w:rsidRPr="003D63B2">
        <w:t>specifications:</w:t>
      </w:r>
    </w:p>
    <w:p w:rsidR="00000000" w:rsidRPr="003D63B2" w:rsidP="003D63B2">
      <w:pPr>
        <w:pStyle w:val="ListBullet2"/>
      </w:pPr>
      <w:r w:rsidRPr="003D63B2">
        <w:t>AS 6001 Working platforms for housing construction</w:t>
      </w:r>
    </w:p>
    <w:p w:rsidR="00000000" w:rsidRPr="003D63B2" w:rsidP="003D63B2">
      <w:pPr>
        <w:pStyle w:val="ListBullet2"/>
      </w:pPr>
      <w:r w:rsidRPr="003D63B2">
        <w:t>AS/NZS 1576 Scaffolding – General requirements</w:t>
      </w:r>
    </w:p>
    <w:p w:rsidR="00000000" w:rsidRPr="003D63B2" w:rsidP="003D63B2">
      <w:pPr>
        <w:pStyle w:val="ListBullet2"/>
      </w:pPr>
      <w:r w:rsidRPr="003D63B2">
        <w:t>AS/NZS 4576 Guidelines for scaffolding</w:t>
      </w:r>
    </w:p>
    <w:p w:rsidR="00000000" w:rsidRPr="003D63B2" w:rsidP="003D63B2">
      <w:pPr>
        <w:pStyle w:val="ListBullet2"/>
      </w:pPr>
      <w:r w:rsidRPr="003D63B2">
        <w:t>diagrams or sketches relating to work at heights</w:t>
      </w:r>
    </w:p>
    <w:p w:rsidR="00000000" w:rsidRPr="003D63B2" w:rsidP="003D63B2">
      <w:pPr>
        <w:pStyle w:val="ListBullet2"/>
      </w:pPr>
      <w:r w:rsidRPr="003D63B2">
        <w:t>instructions issued by authorised organisational or external personnel</w:t>
      </w:r>
    </w:p>
    <w:p w:rsidR="00000000" w:rsidRPr="003D63B2" w:rsidP="003D63B2">
      <w:pPr>
        <w:pStyle w:val="ListBullet2"/>
      </w:pPr>
      <w:r w:rsidRPr="003D63B2">
        <w:t>JSA, SWMS and SDS relating to the work to be conducted at heights</w:t>
      </w:r>
    </w:p>
    <w:p w:rsidR="00000000" w:rsidRPr="003D63B2" w:rsidP="003D63B2">
      <w:pPr>
        <w:pStyle w:val="ListBullet2"/>
      </w:pPr>
      <w:r w:rsidRPr="003D63B2">
        <w:t>Safe Work Australia Model Code of Practice – Preventing Falls in Housi</w:t>
      </w:r>
      <w:r w:rsidRPr="003D63B2">
        <w:t>ng Construction</w:t>
      </w:r>
    </w:p>
    <w:p w:rsidR="00000000" w:rsidRPr="003D63B2" w:rsidP="003D63B2">
      <w:pPr>
        <w:pStyle w:val="ListBullet2"/>
      </w:pPr>
      <w:r w:rsidRPr="003D63B2">
        <w:t>schedules, plans and specifications for working at heights</w:t>
      </w:r>
    </w:p>
    <w:p w:rsidR="00000000" w:rsidRPr="003D63B2" w:rsidP="003D63B2">
      <w:pPr>
        <w:pStyle w:val="ListBullet2"/>
      </w:pPr>
      <w:r w:rsidRPr="003D63B2">
        <w:t>signage at the work site</w:t>
      </w:r>
    </w:p>
    <w:p w:rsidR="00000000" w:rsidRPr="003D63B2" w:rsidP="003D63B2">
      <w:pPr>
        <w:pStyle w:val="ListBullet2"/>
      </w:pPr>
      <w:r w:rsidRPr="003D63B2">
        <w:t>verbal, written and graphical instructions relating to work to be conducted at heights</w:t>
      </w:r>
    </w:p>
    <w:p w:rsidR="00000000" w:rsidRPr="003D63B2" w:rsidP="003D63B2">
      <w:pPr>
        <w:pStyle w:val="ListBullet"/>
      </w:pPr>
      <w:r w:rsidRPr="003D63B2">
        <w:t>physical conditions:</w:t>
      </w:r>
    </w:p>
    <w:p w:rsidR="00000000" w:rsidRPr="003D63B2" w:rsidP="003D63B2">
      <w:pPr>
        <w:pStyle w:val="ListBullet2"/>
      </w:pPr>
      <w:r w:rsidRPr="003D63B2">
        <w:t>different weather conditions, such as wet or w</w:t>
      </w:r>
      <w:r w:rsidRPr="003D63B2">
        <w:t>indy weather</w:t>
      </w:r>
    </w:p>
    <w:p w:rsidR="00000000" w:rsidRPr="003D63B2" w:rsidP="003D63B2">
      <w:pPr>
        <w:pStyle w:val="ListBullet"/>
      </w:pPr>
      <w:r w:rsidRPr="003D63B2">
        <w:t>relationships with team members and supervisor:</w:t>
      </w:r>
    </w:p>
    <w:p w:rsidR="00000000" w:rsidRPr="003D63B2" w:rsidP="003D63B2">
      <w:pPr>
        <w:pStyle w:val="ListBullet2"/>
      </w:pPr>
      <w:r w:rsidRPr="003D63B2">
        <w:t>work must be completed as part of a team and under direct supervision and observation</w:t>
      </w:r>
    </w:p>
    <w:p w:rsidR="00000000" w:rsidRPr="003D63B2" w:rsidP="003D63B2">
      <w:pPr>
        <w:pStyle w:val="ListBullet"/>
      </w:pPr>
      <w:r w:rsidRPr="003D63B2">
        <w:t>timeframe:</w:t>
      </w:r>
    </w:p>
    <w:p w:rsidR="00000000" w:rsidRPr="003D63B2" w:rsidP="003D63B2">
      <w:pPr>
        <w:pStyle w:val="ListBullet2"/>
      </w:pPr>
      <w:r w:rsidRPr="003D63B2">
        <w:t>according to job specification.</w:t>
      </w:r>
    </w:p>
    <w:p w:rsidR="00000000" w:rsidRPr="003D63B2" w:rsidP="003D63B2">
      <w:pPr>
        <w:pStyle w:val="BodyText"/>
      </w:pPr>
    </w:p>
    <w:p w:rsidR="00000000" w:rsidRPr="003D63B2" w:rsidP="00B80165">
      <w:pPr>
        <w:pStyle w:val="Heading3"/>
      </w:pPr>
      <w:r w:rsidRPr="003D63B2">
        <w:rPr>
          <w:rStyle w:val="SpecialBold"/>
        </w:rPr>
        <w:t>Assessor requirements</w:t>
      </w:r>
    </w:p>
    <w:p w:rsidR="00000000" w:rsidRPr="003D63B2" w:rsidP="00B80165">
      <w:pPr>
        <w:pStyle w:val="BodyText"/>
      </w:pPr>
      <w:r w:rsidRPr="003D63B2">
        <w:t>As a minimum, assessors must satisfy the assessor requirements in the Standards for Registered Training Organisations (RTOs) current at the time of assessment.</w:t>
      </w:r>
    </w:p>
    <w:p w:rsidR="00000000" w:rsidRPr="003D63B2" w:rsidP="003D63B2">
      <w:pPr>
        <w:pStyle w:val="Heading1"/>
      </w:pPr>
      <w:bookmarkStart w:id="15" w:name="O_829389"/>
      <w:bookmarkEnd w:id="15"/>
      <w:r w:rsidRPr="003D63B2">
        <w:t>Links</w:t>
      </w:r>
    </w:p>
    <w:p w:rsidR="00000000" w:rsidRPr="003D63B2" w:rsidP="00B80165">
      <w:pPr>
        <w:pStyle w:val="BodyText"/>
      </w:pPr>
      <w:r w:rsidRPr="003D63B2">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1D709C">
        <w:rPr>
          <w:rStyle w:val="Hyperlink"/>
        </w:rPr>
        <w:t>https://vetnet.gov.au/Pages/TrainingDocs.aspx?q=7e15fa6a-68b8-4097-b099-030a5569b1ad</w:t>
      </w:r>
      <w:r>
        <w:fldChar w:fldCharType="end"/>
      </w:r>
    </w:p>
    <w:p w:rsidR="00000000" w:rsidRPr="003D63B2" w:rsidP="003D63B2"/>
    <w:sectPr w:rsidSect="003D63B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3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3B2" w:rsidRPr="00B80165" w:rsidP="00B801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3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165" w:rsidP="003D63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B80165" w:rsidP="003D63B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B80165" w:rsidP="003D63B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3B2" w:rsidP="003D63B2">
    <w:pPr>
      <w:pStyle w:val="Footer"/>
      <w:framePr w:wrap="around"/>
    </w:pPr>
    <w:r>
      <w:fldChar w:fldCharType="begin"/>
    </w:r>
    <w:r>
      <w:instrText xml:space="preserve"> DOCPROPERTY  Subject  \* MERGEFORMAT </w:instrText>
    </w:r>
    <w:r>
      <w:fldChar w:fldCharType="separate"/>
    </w:r>
    <w:r w:rsidR="00B80165">
      <w:t>Approved</w:t>
    </w:r>
    <w:r w:rsidR="00B80165">
      <w:fldChar w:fldCharType="end"/>
    </w:r>
    <w:r>
      <w:tab/>
      <w:t xml:space="preserve">Page </w:t>
    </w:r>
    <w:r>
      <w:fldChar w:fldCharType="begin"/>
    </w:r>
    <w:r>
      <w:instrText xml:space="preserve"> PAGE  \* Arabic  \* MERGEFORMAT </w:instrText>
    </w:r>
    <w:r>
      <w:fldChar w:fldCharType="separate"/>
    </w:r>
    <w:r w:rsidR="00B80165">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80165">
      <w:rPr>
        <w:noProof/>
      </w:rPr>
      <w:t>6</w:t>
    </w:r>
    <w:r>
      <w:rPr>
        <w:noProof/>
      </w:rPr>
      <w:fldChar w:fldCharType="end"/>
    </w:r>
  </w:p>
  <w:p w:rsidR="003D63B2" w:rsidP="003D63B2">
    <w:pPr>
      <w:pStyle w:val="Footer"/>
      <w:framePr w:wrap="around"/>
    </w:pPr>
    <w:r>
      <w:t xml:space="preserve">© Commonwealth of Australia, </w:t>
    </w:r>
    <w:r>
      <w:fldChar w:fldCharType="begin"/>
    </w:r>
    <w:r>
      <w:instrText xml:space="preserve"> DATE  \@ "yyyy"  \* MERGEFORMAT </w:instrText>
    </w:r>
    <w:r>
      <w:fldChar w:fldCharType="separate"/>
    </w:r>
    <w:r w:rsidR="00B80165">
      <w:rPr>
        <w:noProof/>
      </w:rPr>
      <w:t>2025</w:t>
    </w:r>
    <w:r>
      <w:fldChar w:fldCharType="end"/>
    </w:r>
    <w:r>
      <w:tab/>
    </w:r>
    <w:r>
      <w:fldChar w:fldCharType="begin"/>
    </w:r>
    <w:r>
      <w:instrText xml:space="preserve"> DOCPROPERTY  Author  \* MERGEFORMAT </w:instrText>
    </w:r>
    <w:r>
      <w:fldChar w:fldCharType="separate"/>
    </w:r>
    <w:r w:rsidR="00B80165">
      <w:t>BuildSkills Australia</w:t>
    </w:r>
    <w:r w:rsidR="00B80165">
      <w:fldChar w:fldCharType="end"/>
    </w:r>
  </w:p>
  <w:p w:rsidR="003D63B2" w:rsidP="003D63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3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16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D63B2" w:rsidRPr="00B80165" w:rsidP="00B8016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3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165" w:rsidRPr="002D2AF8" w:rsidP="003D63B2">
    <w:pPr>
      <w:pStyle w:val="Header"/>
      <w:framePr w:wrap="around"/>
    </w:pPr>
    <w:r>
      <w:fldChar w:fldCharType="begin"/>
    </w:r>
    <w:r>
      <w:instrText xml:space="preserve"> TITLE   \* MERGEFORMAT </w:instrText>
    </w:r>
    <w:r>
      <w:fldChar w:fldCharType="separate"/>
    </w:r>
    <w:r>
      <w:t>CPCCCM2010 Work safely on scaffolding higher than two metres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80165" w:rsidP="003D63B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3B2" w:rsidRPr="002D2AF8" w:rsidP="003D63B2">
    <w:pPr>
      <w:pStyle w:val="Header"/>
      <w:framePr w:wrap="around"/>
    </w:pPr>
    <w:r>
      <w:fldChar w:fldCharType="begin"/>
    </w:r>
    <w:r>
      <w:instrText xml:space="preserve"> TITLE   \* MERGEFORMAT </w:instrText>
    </w:r>
    <w:r>
      <w:fldChar w:fldCharType="separate"/>
    </w:r>
    <w:r w:rsidR="00B80165">
      <w:t>CPCCCM2010 Work safely on scaffolding higher than two metres</w:t>
    </w:r>
    <w:r w:rsidR="00B80165">
      <w:fldChar w:fldCharType="end"/>
    </w:r>
    <w:r>
      <w:tab/>
      <w:t xml:space="preserve">Date this document was generated: </w:t>
    </w:r>
    <w:r>
      <w:fldChar w:fldCharType="begin"/>
    </w:r>
    <w:r>
      <w:instrText xml:space="preserve"> CREATEDATE  \@ "d MMMM yyyy"  \* MERGEFORMAT </w:instrText>
    </w:r>
    <w:r>
      <w:fldChar w:fldCharType="separate"/>
    </w:r>
    <w:r w:rsidR="00B80165">
      <w:rPr>
        <w:noProof/>
      </w:rPr>
      <w:t>2 March 2025</w:t>
    </w:r>
    <w:r>
      <w:fldChar w:fldCharType="end"/>
    </w:r>
  </w:p>
  <w:p w:rsidR="003D63B2" w:rsidP="003D63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0B64E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316A6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24453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63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63B2"/>
    <w:pPr>
      <w:spacing w:before="360" w:after="60"/>
      <w:outlineLvl w:val="0"/>
    </w:pPr>
    <w:rPr>
      <w:sz w:val="32"/>
    </w:rPr>
  </w:style>
  <w:style w:type="paragraph" w:styleId="Heading2">
    <w:name w:val="heading 2"/>
    <w:basedOn w:val="HeadingBase"/>
    <w:next w:val="BodyText"/>
    <w:link w:val="Heading2Char"/>
    <w:qFormat/>
    <w:rsid w:val="003D63B2"/>
    <w:pPr>
      <w:keepLines/>
      <w:spacing w:before="240" w:after="120"/>
      <w:outlineLvl w:val="1"/>
    </w:pPr>
    <w:rPr>
      <w:sz w:val="28"/>
      <w:szCs w:val="40"/>
    </w:rPr>
  </w:style>
  <w:style w:type="paragraph" w:styleId="Heading3">
    <w:name w:val="heading 3"/>
    <w:basedOn w:val="HeadingBase"/>
    <w:next w:val="BodyText"/>
    <w:link w:val="Heading3Char"/>
    <w:qFormat/>
    <w:rsid w:val="003D63B2"/>
    <w:pPr>
      <w:spacing w:before="180" w:after="120"/>
      <w:outlineLvl w:val="2"/>
    </w:pPr>
    <w:rPr>
      <w:spacing w:val="-10"/>
      <w:kern w:val="32"/>
    </w:rPr>
  </w:style>
  <w:style w:type="paragraph" w:styleId="Heading4">
    <w:name w:val="heading 4"/>
    <w:basedOn w:val="HeadingBase"/>
    <w:next w:val="BodyText"/>
    <w:link w:val="Heading4Char"/>
    <w:qFormat/>
    <w:rsid w:val="003D63B2"/>
    <w:pPr>
      <w:spacing w:before="160" w:after="120"/>
      <w:outlineLvl w:val="3"/>
    </w:pPr>
    <w:rPr>
      <w:sz w:val="22"/>
    </w:rPr>
  </w:style>
  <w:style w:type="paragraph" w:styleId="Heading5">
    <w:name w:val="heading 5"/>
    <w:basedOn w:val="HeadingBase"/>
    <w:next w:val="Normal"/>
    <w:link w:val="Heading5Char"/>
    <w:qFormat/>
    <w:rsid w:val="003D63B2"/>
    <w:pPr>
      <w:spacing w:before="80"/>
      <w:outlineLvl w:val="4"/>
    </w:pPr>
    <w:rPr>
      <w:color w:val="918585"/>
      <w:sz w:val="20"/>
    </w:rPr>
  </w:style>
  <w:style w:type="paragraph" w:styleId="Heading6">
    <w:name w:val="heading 6"/>
    <w:basedOn w:val="HeadingBase"/>
    <w:next w:val="Normal"/>
    <w:link w:val="Heading6Char"/>
    <w:qFormat/>
    <w:rsid w:val="003D63B2"/>
    <w:pPr>
      <w:spacing w:before="60"/>
      <w:outlineLvl w:val="5"/>
    </w:pPr>
    <w:rPr>
      <w:color w:val="918585"/>
      <w:sz w:val="20"/>
    </w:rPr>
  </w:style>
  <w:style w:type="paragraph" w:styleId="Heading7">
    <w:name w:val="heading 7"/>
    <w:basedOn w:val="Normal"/>
    <w:next w:val="Normal"/>
    <w:link w:val="Heading7Char"/>
    <w:qFormat/>
    <w:rsid w:val="003D63B2"/>
    <w:pPr>
      <w:ind w:left="720"/>
      <w:outlineLvl w:val="6"/>
    </w:pPr>
    <w:rPr>
      <w:i/>
    </w:rPr>
  </w:style>
  <w:style w:type="paragraph" w:styleId="Heading8">
    <w:name w:val="heading 8"/>
    <w:basedOn w:val="Normal"/>
    <w:next w:val="Normal"/>
    <w:link w:val="Heading8Char"/>
    <w:qFormat/>
    <w:rsid w:val="003D63B2"/>
    <w:pPr>
      <w:ind w:left="720"/>
      <w:outlineLvl w:val="7"/>
    </w:pPr>
    <w:rPr>
      <w:i/>
    </w:rPr>
  </w:style>
  <w:style w:type="paragraph" w:styleId="Heading9">
    <w:name w:val="heading 9"/>
    <w:basedOn w:val="Normal"/>
    <w:next w:val="Normal"/>
    <w:link w:val="Heading9Char"/>
    <w:qFormat/>
    <w:rsid w:val="003D63B2"/>
    <w:pPr>
      <w:ind w:left="720"/>
      <w:outlineLvl w:val="8"/>
    </w:pPr>
    <w:rPr>
      <w:i/>
    </w:rPr>
  </w:style>
  <w:style w:type="character" w:default="1" w:styleId="DefaultParagraphFont">
    <w:name w:val="Default Paragraph Font"/>
    <w:uiPriority w:val="1"/>
    <w:unhideWhenUsed/>
    <w:rsid w:val="003D63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63B2"/>
  </w:style>
  <w:style w:type="character" w:customStyle="1" w:styleId="Heading1Char">
    <w:name w:val="Heading 1 Char"/>
    <w:basedOn w:val="DefaultParagraphFont"/>
    <w:link w:val="Heading1"/>
    <w:rsid w:val="003D63B2"/>
    <w:rPr>
      <w:rFonts w:ascii="Times New Roman" w:eastAsia="Times New Roman" w:hAnsi="Times New Roman" w:cs="Times New Roman"/>
      <w:b/>
      <w:sz w:val="32"/>
      <w:szCs w:val="20"/>
      <w:lang w:eastAsia="en-US"/>
    </w:rPr>
  </w:style>
  <w:style w:type="paragraph" w:styleId="BodyText">
    <w:name w:val="Body Text"/>
    <w:basedOn w:val="Normal"/>
    <w:link w:val="BodyTextChar"/>
    <w:rsid w:val="003D63B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D63B2"/>
    <w:rPr>
      <w:rFonts w:ascii="Times New Roman" w:eastAsia="Times New Roman" w:hAnsi="Times New Roman" w:cs="Times New Roman"/>
      <w:sz w:val="24"/>
      <w:lang w:eastAsia="en-US"/>
    </w:rPr>
  </w:style>
  <w:style w:type="paragraph" w:styleId="ListBullet">
    <w:name w:val="List Bullet"/>
    <w:basedOn w:val="List"/>
    <w:rsid w:val="003D63B2"/>
    <w:pPr>
      <w:numPr>
        <w:numId w:val="12"/>
      </w:numPr>
      <w:tabs>
        <w:tab w:val="clear" w:pos="340"/>
      </w:tabs>
      <w:spacing w:before="40" w:after="40"/>
    </w:pPr>
  </w:style>
  <w:style w:type="character" w:customStyle="1" w:styleId="SpecialBold">
    <w:name w:val="Special Bold"/>
    <w:basedOn w:val="DefaultParagraphFont"/>
    <w:rsid w:val="003D63B2"/>
    <w:rPr>
      <w:b/>
      <w:spacing w:val="0"/>
    </w:rPr>
  </w:style>
  <w:style w:type="paragraph" w:styleId="ListBullet2">
    <w:name w:val="List Bullet 2"/>
    <w:basedOn w:val="List2"/>
    <w:rsid w:val="003D63B2"/>
    <w:pPr>
      <w:numPr>
        <w:numId w:val="13"/>
      </w:numPr>
      <w:tabs>
        <w:tab w:val="clear" w:pos="680"/>
      </w:tabs>
    </w:pPr>
  </w:style>
  <w:style w:type="paragraph" w:customStyle="1" w:styleId="SuperHeading">
    <w:name w:val="SuperHeading"/>
    <w:basedOn w:val="Normal"/>
    <w:rsid w:val="003D63B2"/>
    <w:pPr>
      <w:spacing w:before="240" w:after="120"/>
      <w:outlineLvl w:val="0"/>
    </w:pPr>
    <w:rPr>
      <w:rFonts w:ascii="Times New Roman" w:hAnsi="Times New Roman"/>
      <w:b/>
      <w:sz w:val="32"/>
    </w:rPr>
  </w:style>
  <w:style w:type="paragraph" w:customStyle="1" w:styleId="AllowPageBreak">
    <w:name w:val="AllowPageBreak"/>
    <w:rsid w:val="003D63B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D63B2"/>
    <w:rPr>
      <w:b/>
      <w:i/>
      <w:u w:val="none"/>
    </w:rPr>
  </w:style>
  <w:style w:type="character" w:customStyle="1" w:styleId="Heading2Char">
    <w:name w:val="Heading 2 Char"/>
    <w:basedOn w:val="DefaultParagraphFont"/>
    <w:link w:val="Heading2"/>
    <w:rsid w:val="003D63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63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63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63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63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63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63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63B2"/>
    <w:rPr>
      <w:rFonts w:ascii="Courier New" w:eastAsia="Times New Roman" w:hAnsi="Courier New" w:cs="Times New Roman"/>
      <w:i/>
      <w:szCs w:val="20"/>
      <w:lang w:eastAsia="en-US"/>
    </w:rPr>
  </w:style>
  <w:style w:type="paragraph" w:customStyle="1" w:styleId="HeadingBase">
    <w:name w:val="Heading Base"/>
    <w:rsid w:val="003D63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63B2"/>
    <w:pPr>
      <w:tabs>
        <w:tab w:val="right" w:leader="dot" w:pos="9072"/>
      </w:tabs>
      <w:ind w:left="567"/>
    </w:pPr>
    <w:rPr>
      <w:szCs w:val="22"/>
    </w:rPr>
  </w:style>
  <w:style w:type="paragraph" w:customStyle="1" w:styleId="TOCBase">
    <w:name w:val="TOC Base"/>
    <w:rsid w:val="003D63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63B2"/>
    <w:pPr>
      <w:tabs>
        <w:tab w:val="right" w:leader="dot" w:pos="9072"/>
      </w:tabs>
      <w:spacing w:before="40" w:after="40"/>
      <w:ind w:left="284"/>
    </w:pPr>
    <w:rPr>
      <w:rFonts w:ascii="Times New Roman" w:hAnsi="Times New Roman"/>
    </w:rPr>
  </w:style>
  <w:style w:type="paragraph" w:styleId="TOC1">
    <w:name w:val="toc 1"/>
    <w:basedOn w:val="TOCBase"/>
    <w:next w:val="Normal"/>
    <w:rsid w:val="003D63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63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63B2"/>
    <w:rPr>
      <w:rFonts w:ascii="Times New Roman" w:eastAsia="Times New Roman" w:hAnsi="Times New Roman" w:cs="Times New Roman"/>
      <w:sz w:val="16"/>
      <w:lang w:eastAsia="en-US"/>
    </w:rPr>
  </w:style>
  <w:style w:type="paragraph" w:styleId="Title">
    <w:name w:val="Title"/>
    <w:basedOn w:val="HeadingBase"/>
    <w:link w:val="TitleChar"/>
    <w:qFormat/>
    <w:rsid w:val="003D63B2"/>
    <w:pPr>
      <w:spacing w:before="5040"/>
      <w:jc w:val="center"/>
    </w:pPr>
    <w:rPr>
      <w:sz w:val="48"/>
      <w:szCs w:val="72"/>
      <w:lang w:val="en-US"/>
    </w:rPr>
  </w:style>
  <w:style w:type="character" w:customStyle="1" w:styleId="TitleChar">
    <w:name w:val="Title Char"/>
    <w:basedOn w:val="DefaultParagraphFont"/>
    <w:link w:val="Title"/>
    <w:rsid w:val="003D63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63B2"/>
    <w:pPr>
      <w:tabs>
        <w:tab w:val="left" w:pos="3600"/>
        <w:tab w:val="left" w:pos="3958"/>
      </w:tabs>
    </w:pPr>
  </w:style>
  <w:style w:type="paragraph" w:styleId="List">
    <w:name w:val="List"/>
    <w:basedOn w:val="BodyText"/>
    <w:next w:val="BodyText"/>
    <w:rsid w:val="003D63B2"/>
    <w:pPr>
      <w:tabs>
        <w:tab w:val="left" w:pos="340"/>
      </w:tabs>
      <w:spacing w:before="60" w:after="60"/>
      <w:ind w:left="340" w:hanging="340"/>
    </w:pPr>
  </w:style>
  <w:style w:type="paragraph" w:customStyle="1" w:styleId="Note">
    <w:name w:val="Note"/>
    <w:basedOn w:val="BodyText"/>
    <w:rsid w:val="003D63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63B2"/>
    <w:pPr>
      <w:framePr w:wrap="auto" w:hAnchor="text" w:y="6049"/>
    </w:pPr>
    <w:rPr>
      <w:color w:val="000000"/>
      <w:sz w:val="40"/>
    </w:rPr>
  </w:style>
  <w:style w:type="paragraph" w:customStyle="1" w:styleId="TOCTitle">
    <w:name w:val="TOCTitle"/>
    <w:basedOn w:val="Heading1"/>
    <w:rsid w:val="003D63B2"/>
    <w:pPr>
      <w:spacing w:after="240"/>
      <w:jc w:val="center"/>
      <w:outlineLvl w:val="9"/>
    </w:pPr>
    <w:rPr>
      <w:caps/>
    </w:rPr>
  </w:style>
  <w:style w:type="paragraph" w:customStyle="1" w:styleId="Version">
    <w:name w:val="Version"/>
    <w:rsid w:val="003D63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D63B2"/>
    <w:pPr>
      <w:keepNext w:val="0"/>
      <w:tabs>
        <w:tab w:val="right" w:pos="4176"/>
      </w:tabs>
      <w:ind w:left="198" w:hanging="198"/>
    </w:pPr>
    <w:rPr>
      <w:rFonts w:ascii="Garamond" w:hAnsi="Garamond"/>
    </w:rPr>
  </w:style>
  <w:style w:type="paragraph" w:styleId="IndexHeading">
    <w:name w:val="index heading"/>
    <w:basedOn w:val="Normal"/>
    <w:next w:val="Index1"/>
    <w:semiHidden/>
    <w:rsid w:val="003D63B2"/>
    <w:pPr>
      <w:spacing w:before="120" w:after="120"/>
    </w:pPr>
    <w:rPr>
      <w:rFonts w:ascii="Arial" w:hAnsi="Arial"/>
      <w:b/>
      <w:color w:val="918585"/>
      <w:sz w:val="24"/>
    </w:rPr>
  </w:style>
  <w:style w:type="paragraph" w:styleId="Header">
    <w:name w:val="header"/>
    <w:basedOn w:val="Normal"/>
    <w:link w:val="HeaderChar"/>
    <w:rsid w:val="003D63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63B2"/>
    <w:rPr>
      <w:rFonts w:ascii="Times New Roman" w:eastAsia="Times New Roman" w:hAnsi="Times New Roman" w:cs="Times New Roman"/>
      <w:sz w:val="16"/>
      <w:szCs w:val="20"/>
      <w:lang w:val="en-GB" w:eastAsia="en-US"/>
    </w:rPr>
  </w:style>
  <w:style w:type="paragraph" w:customStyle="1" w:styleId="Chapter">
    <w:name w:val="Chapter"/>
    <w:basedOn w:val="Normal"/>
    <w:rsid w:val="003D63B2"/>
    <w:pPr>
      <w:spacing w:before="240"/>
    </w:pPr>
    <w:rPr>
      <w:rFonts w:ascii="Times New Roman" w:hAnsi="Times New Roman"/>
      <w:smallCaps/>
      <w:spacing w:val="80"/>
      <w:sz w:val="28"/>
    </w:rPr>
  </w:style>
  <w:style w:type="paragraph" w:customStyle="1" w:styleId="InChapter">
    <w:name w:val="InChapter"/>
    <w:basedOn w:val="Heading3"/>
    <w:rsid w:val="003D63B2"/>
    <w:pPr>
      <w:spacing w:after="240"/>
      <w:outlineLvl w:val="9"/>
    </w:pPr>
    <w:rPr>
      <w:noProof/>
    </w:rPr>
  </w:style>
  <w:style w:type="paragraph" w:styleId="Index2">
    <w:name w:val="index 2"/>
    <w:basedOn w:val="Normal"/>
    <w:next w:val="Normal"/>
    <w:semiHidden/>
    <w:rsid w:val="003D63B2"/>
    <w:pPr>
      <w:tabs>
        <w:tab w:val="right" w:pos="4176"/>
      </w:tabs>
      <w:ind w:left="568" w:hanging="284"/>
    </w:pPr>
    <w:rPr>
      <w:rFonts w:ascii="Garamond" w:hAnsi="Garamond"/>
    </w:rPr>
  </w:style>
  <w:style w:type="paragraph" w:customStyle="1" w:styleId="Byline">
    <w:name w:val="Byline"/>
    <w:rsid w:val="003D63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63B2"/>
    <w:pPr>
      <w:tabs>
        <w:tab w:val="clear" w:pos="3600"/>
        <w:tab w:val="clear" w:pos="3958"/>
      </w:tabs>
      <w:jc w:val="right"/>
    </w:pPr>
  </w:style>
  <w:style w:type="character" w:styleId="Emphasis">
    <w:name w:val="Emphasis"/>
    <w:basedOn w:val="DefaultParagraphFont"/>
    <w:qFormat/>
    <w:rsid w:val="003D63B2"/>
    <w:rPr>
      <w:i/>
    </w:rPr>
  </w:style>
  <w:style w:type="paragraph" w:styleId="Caption">
    <w:name w:val="caption"/>
    <w:basedOn w:val="BodyText"/>
    <w:next w:val="Normal"/>
    <w:qFormat/>
    <w:rsid w:val="003D63B2"/>
    <w:pPr>
      <w:framePr w:w="2268" w:hSpace="181" w:vSpace="181" w:wrap="around" w:vAnchor="text" w:hAnchor="page" w:x="1135" w:y="285" w:anchorLock="1"/>
    </w:pPr>
    <w:rPr>
      <w:i/>
    </w:rPr>
  </w:style>
  <w:style w:type="paragraph" w:customStyle="1" w:styleId="MiniTOCTitle">
    <w:name w:val="MiniTOCTitle"/>
    <w:basedOn w:val="Heading4"/>
    <w:rsid w:val="003D63B2"/>
    <w:pPr>
      <w:spacing w:before="240"/>
      <w:outlineLvl w:val="9"/>
    </w:pPr>
    <w:rPr>
      <w:noProof/>
      <w:sz w:val="24"/>
    </w:rPr>
  </w:style>
  <w:style w:type="paragraph" w:customStyle="1" w:styleId="MiniTOCItem">
    <w:name w:val="MiniTOCItem"/>
    <w:basedOn w:val="ListBullet"/>
    <w:rsid w:val="003D63B2"/>
    <w:pPr>
      <w:numPr>
        <w:numId w:val="0"/>
      </w:numPr>
      <w:tabs>
        <w:tab w:val="right" w:leader="dot" w:pos="6521"/>
      </w:tabs>
      <w:spacing w:before="0" w:after="0"/>
    </w:pPr>
  </w:style>
  <w:style w:type="paragraph" w:customStyle="1" w:styleId="TOFTitle">
    <w:name w:val="TOFTitle"/>
    <w:basedOn w:val="TOCTitle"/>
    <w:rsid w:val="003D63B2"/>
  </w:style>
  <w:style w:type="paragraph" w:styleId="TableofFigures">
    <w:name w:val="table of figures"/>
    <w:basedOn w:val="Normal"/>
    <w:next w:val="Normal"/>
    <w:semiHidden/>
    <w:rsid w:val="003D63B2"/>
    <w:pPr>
      <w:tabs>
        <w:tab w:val="right" w:leader="dot" w:pos="9072"/>
      </w:tabs>
      <w:ind w:left="970" w:hanging="403"/>
    </w:pPr>
    <w:rPr>
      <w:rFonts w:ascii="Times New Roman" w:hAnsi="Times New Roman"/>
      <w:b/>
    </w:rPr>
  </w:style>
  <w:style w:type="paragraph" w:styleId="ListNumber">
    <w:name w:val="List Number"/>
    <w:basedOn w:val="List"/>
    <w:rsid w:val="003D63B2"/>
    <w:pPr>
      <w:numPr>
        <w:numId w:val="15"/>
      </w:numPr>
      <w:tabs>
        <w:tab w:val="clear" w:pos="340"/>
      </w:tabs>
    </w:pPr>
  </w:style>
  <w:style w:type="character" w:customStyle="1" w:styleId="WingdingSymbols">
    <w:name w:val="Wingding Symbols"/>
    <w:rsid w:val="003D63B2"/>
    <w:rPr>
      <w:rFonts w:ascii="Wingdings" w:hAnsi="Wingdings"/>
    </w:rPr>
  </w:style>
  <w:style w:type="paragraph" w:customStyle="1" w:styleId="TableHeading">
    <w:name w:val="Table Heading"/>
    <w:basedOn w:val="HeadingBase"/>
    <w:rsid w:val="003D63B2"/>
    <w:pPr>
      <w:keepLines/>
      <w:pBdr>
        <w:bottom w:val="single" w:sz="6" w:space="1" w:color="918585"/>
      </w:pBdr>
      <w:spacing w:before="240"/>
    </w:pPr>
  </w:style>
  <w:style w:type="character" w:customStyle="1" w:styleId="HotSpot">
    <w:name w:val="HotSpot"/>
    <w:rsid w:val="003D63B2"/>
    <w:rPr>
      <w:color w:val="0033CC"/>
      <w:u w:val="none"/>
    </w:rPr>
  </w:style>
  <w:style w:type="paragraph" w:customStyle="1" w:styleId="BodyTextRight">
    <w:name w:val="Body Text Right"/>
    <w:basedOn w:val="BodyText"/>
    <w:rsid w:val="003D63B2"/>
    <w:pPr>
      <w:spacing w:before="0" w:after="0"/>
      <w:jc w:val="right"/>
    </w:pPr>
  </w:style>
  <w:style w:type="paragraph" w:styleId="Index3">
    <w:name w:val="index 3"/>
    <w:basedOn w:val="ListNumber2"/>
    <w:next w:val="Normal"/>
    <w:semiHidden/>
    <w:rsid w:val="003D63B2"/>
    <w:pPr>
      <w:numPr>
        <w:numId w:val="0"/>
      </w:numPr>
      <w:tabs>
        <w:tab w:val="right" w:leader="dot" w:pos="4176"/>
      </w:tabs>
    </w:pPr>
  </w:style>
  <w:style w:type="paragraph" w:styleId="ListNumber2">
    <w:name w:val="List Number 2"/>
    <w:basedOn w:val="List2"/>
    <w:rsid w:val="003D63B2"/>
    <w:pPr>
      <w:numPr>
        <w:numId w:val="10"/>
      </w:numPr>
      <w:tabs>
        <w:tab w:val="clear" w:pos="1060"/>
      </w:tabs>
    </w:pPr>
  </w:style>
  <w:style w:type="paragraph" w:customStyle="1" w:styleId="MarginNote">
    <w:name w:val="Margin Note"/>
    <w:basedOn w:val="BodyText"/>
    <w:rsid w:val="003D63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63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63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63B2"/>
    <w:rPr>
      <w:sz w:val="32"/>
    </w:rPr>
  </w:style>
  <w:style w:type="paragraph" w:customStyle="1" w:styleId="HeadingProcedure">
    <w:name w:val="Heading Procedure"/>
    <w:basedOn w:val="HeadingBase"/>
    <w:next w:val="Normal"/>
    <w:rsid w:val="003D63B2"/>
    <w:pPr>
      <w:tabs>
        <w:tab w:val="left" w:pos="0"/>
      </w:tabs>
      <w:spacing w:before="120" w:after="60"/>
    </w:pPr>
    <w:rPr>
      <w:i/>
      <w:color w:val="918585"/>
      <w:sz w:val="22"/>
    </w:rPr>
  </w:style>
  <w:style w:type="paragraph" w:customStyle="1" w:styleId="TableBodyText">
    <w:name w:val="Table Body Text"/>
    <w:basedOn w:val="BodyText"/>
    <w:rsid w:val="003D63B2"/>
    <w:pPr>
      <w:spacing w:before="60" w:after="60"/>
    </w:pPr>
  </w:style>
  <w:style w:type="paragraph" w:styleId="ListContinue">
    <w:name w:val="List Continue"/>
    <w:basedOn w:val="List"/>
    <w:rsid w:val="003D63B2"/>
    <w:pPr>
      <w:ind w:firstLine="0"/>
    </w:pPr>
  </w:style>
  <w:style w:type="paragraph" w:customStyle="1" w:styleId="ListNote">
    <w:name w:val="List Note"/>
    <w:basedOn w:val="List"/>
    <w:rsid w:val="003D63B2"/>
    <w:pPr>
      <w:pBdr>
        <w:top w:val="single" w:sz="6" w:space="2" w:color="918585"/>
        <w:bottom w:val="single" w:sz="6" w:space="2" w:color="918585"/>
      </w:pBdr>
      <w:tabs>
        <w:tab w:val="left" w:pos="1021"/>
      </w:tabs>
      <w:ind w:firstLine="0"/>
    </w:pPr>
  </w:style>
  <w:style w:type="paragraph" w:customStyle="1" w:styleId="Warning">
    <w:name w:val="Warning"/>
    <w:basedOn w:val="BodyText"/>
    <w:rsid w:val="003D63B2"/>
    <w:pPr>
      <w:shd w:val="clear" w:color="auto" w:fill="D9D9D9"/>
      <w:tabs>
        <w:tab w:val="left" w:pos="992"/>
      </w:tabs>
      <w:ind w:left="119" w:right="119"/>
    </w:pPr>
    <w:rPr>
      <w:sz w:val="20"/>
    </w:rPr>
  </w:style>
  <w:style w:type="paragraph" w:customStyle="1" w:styleId="MarginIcons">
    <w:name w:val="Margin Icons"/>
    <w:basedOn w:val="BodyText"/>
    <w:rsid w:val="003D63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63B2"/>
    <w:rPr>
      <w:rFonts w:ascii="Courier New" w:hAnsi="Courier New"/>
    </w:rPr>
  </w:style>
  <w:style w:type="paragraph" w:customStyle="1" w:styleId="NoteBullet">
    <w:name w:val="Note Bullet"/>
    <w:basedOn w:val="Note"/>
    <w:rsid w:val="003D63B2"/>
    <w:pPr>
      <w:tabs>
        <w:tab w:val="clear" w:pos="680"/>
      </w:tabs>
      <w:spacing w:before="60" w:after="60"/>
    </w:pPr>
  </w:style>
  <w:style w:type="paragraph" w:customStyle="1" w:styleId="SubHeading2">
    <w:name w:val="SubHeading2"/>
    <w:basedOn w:val="HeadingBase"/>
    <w:rsid w:val="003D63B2"/>
    <w:pPr>
      <w:spacing w:before="240" w:after="60"/>
    </w:pPr>
    <w:rPr>
      <w:sz w:val="20"/>
    </w:rPr>
  </w:style>
  <w:style w:type="paragraph" w:customStyle="1" w:styleId="SubHeading1">
    <w:name w:val="SubHeading1"/>
    <w:basedOn w:val="HeadingBase"/>
    <w:rsid w:val="003D63B2"/>
    <w:pPr>
      <w:spacing w:before="240" w:after="60"/>
    </w:pPr>
    <w:rPr>
      <w:color w:val="918585"/>
      <w:sz w:val="22"/>
    </w:rPr>
  </w:style>
  <w:style w:type="paragraph" w:customStyle="1" w:styleId="SideHeading">
    <w:name w:val="Side Heading"/>
    <w:basedOn w:val="HeadingBase"/>
    <w:rsid w:val="003D63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63B2"/>
    <w:pPr>
      <w:tabs>
        <w:tab w:val="num" w:pos="360"/>
      </w:tabs>
    </w:pPr>
  </w:style>
  <w:style w:type="paragraph" w:styleId="PlainText">
    <w:name w:val="Plain Text"/>
    <w:basedOn w:val="Normal"/>
    <w:link w:val="PlainTextChar"/>
    <w:rsid w:val="003D63B2"/>
    <w:rPr>
      <w:sz w:val="20"/>
    </w:rPr>
  </w:style>
  <w:style w:type="character" w:customStyle="1" w:styleId="PlainTextChar">
    <w:name w:val="Plain Text Char"/>
    <w:basedOn w:val="DefaultParagraphFont"/>
    <w:link w:val="PlainText"/>
    <w:rsid w:val="003D63B2"/>
    <w:rPr>
      <w:rFonts w:ascii="Courier New" w:eastAsia="Times New Roman" w:hAnsi="Courier New" w:cs="Times New Roman"/>
      <w:sz w:val="20"/>
      <w:szCs w:val="20"/>
      <w:lang w:eastAsia="en-US"/>
    </w:rPr>
  </w:style>
  <w:style w:type="character" w:customStyle="1" w:styleId="MenuOption">
    <w:name w:val="Menu Option"/>
    <w:basedOn w:val="DefaultParagraphFont"/>
    <w:rsid w:val="003D63B2"/>
    <w:rPr>
      <w:b/>
      <w:smallCaps/>
    </w:rPr>
  </w:style>
  <w:style w:type="paragraph" w:customStyle="1" w:styleId="TableListNumber">
    <w:name w:val="Table List Number"/>
    <w:basedOn w:val="ListNumber"/>
    <w:rsid w:val="003D63B2"/>
    <w:pPr>
      <w:numPr>
        <w:numId w:val="0"/>
      </w:numPr>
    </w:pPr>
  </w:style>
  <w:style w:type="paragraph" w:styleId="TOC4">
    <w:name w:val="toc 4"/>
    <w:basedOn w:val="TOCBase"/>
    <w:next w:val="Normal"/>
    <w:semiHidden/>
    <w:rsid w:val="003D63B2"/>
    <w:pPr>
      <w:tabs>
        <w:tab w:val="right" w:leader="dot" w:pos="9071"/>
      </w:tabs>
      <w:ind w:left="1701"/>
    </w:pPr>
  </w:style>
  <w:style w:type="paragraph" w:customStyle="1" w:styleId="ListAlpha">
    <w:name w:val="List Alpha"/>
    <w:basedOn w:val="List"/>
    <w:rsid w:val="003D63B2"/>
    <w:pPr>
      <w:numPr>
        <w:numId w:val="9"/>
      </w:numPr>
    </w:pPr>
  </w:style>
  <w:style w:type="paragraph" w:customStyle="1" w:styleId="ListAlpha2">
    <w:name w:val="List Alpha 2"/>
    <w:basedOn w:val="List2"/>
    <w:rsid w:val="003D63B2"/>
    <w:pPr>
      <w:numPr>
        <w:numId w:val="8"/>
      </w:numPr>
    </w:pPr>
  </w:style>
  <w:style w:type="paragraph" w:styleId="List2">
    <w:name w:val="List 2"/>
    <w:basedOn w:val="BodyText"/>
    <w:rsid w:val="003D63B2"/>
    <w:pPr>
      <w:tabs>
        <w:tab w:val="left" w:pos="680"/>
      </w:tabs>
      <w:spacing w:before="60" w:after="60"/>
      <w:ind w:left="680" w:hanging="340"/>
    </w:pPr>
  </w:style>
  <w:style w:type="paragraph" w:styleId="List3">
    <w:name w:val="List 3"/>
    <w:basedOn w:val="BodyText"/>
    <w:rsid w:val="003D63B2"/>
    <w:pPr>
      <w:tabs>
        <w:tab w:val="left" w:pos="1021"/>
      </w:tabs>
      <w:spacing w:before="60" w:after="60"/>
      <w:ind w:left="1020" w:hanging="340"/>
    </w:pPr>
  </w:style>
  <w:style w:type="paragraph" w:styleId="List4">
    <w:name w:val="List 4"/>
    <w:basedOn w:val="BodyText"/>
    <w:rsid w:val="003D63B2"/>
    <w:pPr>
      <w:tabs>
        <w:tab w:val="left" w:pos="1361"/>
      </w:tabs>
      <w:spacing w:before="60" w:after="60"/>
      <w:ind w:left="1361" w:hanging="340"/>
    </w:pPr>
  </w:style>
  <w:style w:type="paragraph" w:styleId="List5">
    <w:name w:val="List 5"/>
    <w:basedOn w:val="BodyText"/>
    <w:rsid w:val="003D63B2"/>
    <w:pPr>
      <w:tabs>
        <w:tab w:val="left" w:pos="1701"/>
      </w:tabs>
      <w:spacing w:before="60" w:after="60"/>
      <w:ind w:left="1701" w:hanging="340"/>
    </w:pPr>
  </w:style>
  <w:style w:type="paragraph" w:styleId="ListBullet3">
    <w:name w:val="List Bullet 3"/>
    <w:basedOn w:val="List3"/>
    <w:rsid w:val="003D63B2"/>
    <w:pPr>
      <w:numPr>
        <w:numId w:val="14"/>
      </w:numPr>
      <w:tabs>
        <w:tab w:val="clear" w:pos="1021"/>
      </w:tabs>
      <w:ind w:left="1037" w:hanging="357"/>
    </w:pPr>
  </w:style>
  <w:style w:type="paragraph" w:styleId="ListBullet4">
    <w:name w:val="List Bullet 4"/>
    <w:basedOn w:val="List4"/>
    <w:rsid w:val="003D63B2"/>
    <w:pPr>
      <w:numPr>
        <w:numId w:val="3"/>
      </w:numPr>
      <w:tabs>
        <w:tab w:val="clear" w:pos="1361"/>
      </w:tabs>
    </w:pPr>
  </w:style>
  <w:style w:type="paragraph" w:styleId="ListBullet5">
    <w:name w:val="List Bullet 5"/>
    <w:basedOn w:val="List5"/>
    <w:rsid w:val="003D63B2"/>
    <w:pPr>
      <w:numPr>
        <w:numId w:val="4"/>
      </w:numPr>
    </w:pPr>
  </w:style>
  <w:style w:type="paragraph" w:styleId="ListContinue2">
    <w:name w:val="List Continue 2"/>
    <w:basedOn w:val="List2"/>
    <w:rsid w:val="003D63B2"/>
    <w:pPr>
      <w:ind w:firstLine="0"/>
    </w:pPr>
  </w:style>
  <w:style w:type="paragraph" w:styleId="ListContinue3">
    <w:name w:val="List Continue 3"/>
    <w:basedOn w:val="List3"/>
    <w:rsid w:val="003D63B2"/>
    <w:pPr>
      <w:ind w:left="1021" w:firstLine="0"/>
    </w:pPr>
  </w:style>
  <w:style w:type="paragraph" w:styleId="ListContinue4">
    <w:name w:val="List Continue 4"/>
    <w:basedOn w:val="List4"/>
    <w:rsid w:val="003D63B2"/>
    <w:pPr>
      <w:ind w:firstLine="0"/>
    </w:pPr>
  </w:style>
  <w:style w:type="paragraph" w:styleId="ListContinue5">
    <w:name w:val="List Continue 5"/>
    <w:basedOn w:val="List5"/>
    <w:rsid w:val="003D63B2"/>
    <w:pPr>
      <w:ind w:firstLine="0"/>
    </w:pPr>
  </w:style>
  <w:style w:type="paragraph" w:styleId="ListNumber3">
    <w:name w:val="List Number 3"/>
    <w:basedOn w:val="List3"/>
    <w:rsid w:val="003D63B2"/>
    <w:pPr>
      <w:numPr>
        <w:numId w:val="5"/>
      </w:numPr>
    </w:pPr>
  </w:style>
  <w:style w:type="paragraph" w:styleId="ListNumber4">
    <w:name w:val="List Number 4"/>
    <w:basedOn w:val="List4"/>
    <w:rsid w:val="003D63B2"/>
    <w:pPr>
      <w:numPr>
        <w:numId w:val="6"/>
      </w:numPr>
    </w:pPr>
  </w:style>
  <w:style w:type="paragraph" w:styleId="ListNumber5">
    <w:name w:val="List Number 5"/>
    <w:basedOn w:val="List5"/>
    <w:rsid w:val="003D63B2"/>
    <w:pPr>
      <w:numPr>
        <w:numId w:val="7"/>
      </w:numPr>
    </w:pPr>
  </w:style>
  <w:style w:type="paragraph" w:styleId="BlockText">
    <w:name w:val="Block Text"/>
    <w:basedOn w:val="Normal"/>
    <w:rsid w:val="003D63B2"/>
    <w:pPr>
      <w:spacing w:after="120"/>
      <w:ind w:left="1440" w:right="1440"/>
    </w:pPr>
  </w:style>
  <w:style w:type="character" w:customStyle="1" w:styleId="Subscript">
    <w:name w:val="Subscript"/>
    <w:basedOn w:val="DefaultParagraphFont"/>
    <w:rsid w:val="003D63B2"/>
    <w:rPr>
      <w:sz w:val="16"/>
      <w:vertAlign w:val="subscript"/>
    </w:rPr>
  </w:style>
  <w:style w:type="character" w:customStyle="1" w:styleId="Superscript">
    <w:name w:val="Superscript"/>
    <w:basedOn w:val="DefaultParagraphFont"/>
    <w:rsid w:val="003D63B2"/>
    <w:rPr>
      <w:sz w:val="16"/>
      <w:vertAlign w:val="superscript"/>
    </w:rPr>
  </w:style>
  <w:style w:type="character" w:customStyle="1" w:styleId="Symbols">
    <w:name w:val="Symbols"/>
    <w:basedOn w:val="DefaultParagraphFont"/>
    <w:rsid w:val="003D63B2"/>
    <w:rPr>
      <w:rFonts w:ascii="Symbol" w:hAnsi="Symbol"/>
    </w:rPr>
  </w:style>
  <w:style w:type="character" w:customStyle="1" w:styleId="MenuOptions">
    <w:name w:val="Menu Options"/>
    <w:basedOn w:val="DefaultParagraphFont"/>
    <w:rsid w:val="003D63B2"/>
    <w:rPr>
      <w:rFonts w:ascii="Arial Narrow" w:hAnsi="Arial Narrow"/>
      <w:smallCaps/>
    </w:rPr>
  </w:style>
  <w:style w:type="character" w:customStyle="1" w:styleId="Buttons">
    <w:name w:val="Buttons"/>
    <w:basedOn w:val="DefaultParagraphFont"/>
    <w:rsid w:val="003D63B2"/>
    <w:rPr>
      <w:b/>
    </w:rPr>
  </w:style>
  <w:style w:type="character" w:customStyle="1" w:styleId="Underlined">
    <w:name w:val="Underlined"/>
    <w:basedOn w:val="DefaultParagraphFont"/>
    <w:rsid w:val="003D63B2"/>
    <w:rPr>
      <w:u w:val="single"/>
    </w:rPr>
  </w:style>
  <w:style w:type="paragraph" w:customStyle="1" w:styleId="TableBodyTextRight">
    <w:name w:val="Table Body Text Right"/>
    <w:basedOn w:val="TableBodyText"/>
    <w:rsid w:val="003D63B2"/>
    <w:pPr>
      <w:widowControl w:val="0"/>
      <w:autoSpaceDE w:val="0"/>
      <w:autoSpaceDN w:val="0"/>
      <w:adjustRightInd w:val="0"/>
      <w:jc w:val="right"/>
    </w:pPr>
    <w:rPr>
      <w:rFonts w:cs="Arial"/>
      <w:szCs w:val="18"/>
    </w:rPr>
  </w:style>
  <w:style w:type="paragraph" w:customStyle="1" w:styleId="CopyrightText">
    <w:name w:val="Copyright Text"/>
    <w:basedOn w:val="BodyText"/>
    <w:rsid w:val="003D63B2"/>
    <w:rPr>
      <w:sz w:val="18"/>
    </w:rPr>
  </w:style>
  <w:style w:type="paragraph" w:customStyle="1" w:styleId="BodySmallRight">
    <w:name w:val="Body Small Right"/>
    <w:basedOn w:val="BodyTextRight"/>
    <w:rsid w:val="003D63B2"/>
    <w:rPr>
      <w:sz w:val="18"/>
      <w:szCs w:val="18"/>
    </w:rPr>
  </w:style>
  <w:style w:type="paragraph" w:customStyle="1" w:styleId="MarginEdition">
    <w:name w:val="Margin Edition"/>
    <w:basedOn w:val="MarginNote"/>
    <w:rsid w:val="003D63B2"/>
    <w:pPr>
      <w:spacing w:before="0" w:after="0"/>
    </w:pPr>
    <w:rPr>
      <w:rFonts w:ascii="Times New Roman" w:hAnsi="Times New Roman"/>
      <w:color w:val="999999"/>
    </w:rPr>
  </w:style>
  <w:style w:type="paragraph" w:customStyle="1" w:styleId="Spacer">
    <w:name w:val="Spacer"/>
    <w:basedOn w:val="Normal"/>
    <w:rsid w:val="003D63B2"/>
    <w:rPr>
      <w:sz w:val="2"/>
      <w:szCs w:val="2"/>
    </w:rPr>
  </w:style>
  <w:style w:type="character" w:customStyle="1" w:styleId="Small">
    <w:name w:val="Small"/>
    <w:basedOn w:val="DefaultParagraphFont"/>
    <w:rsid w:val="003D63B2"/>
    <w:rPr>
      <w:sz w:val="16"/>
    </w:rPr>
  </w:style>
  <w:style w:type="paragraph" w:customStyle="1" w:styleId="WideTable">
    <w:name w:val="Wide Table"/>
    <w:basedOn w:val="Normal"/>
    <w:rsid w:val="003D63B2"/>
    <w:pPr>
      <w:ind w:left="-1418"/>
    </w:pPr>
    <w:rPr>
      <w:sz w:val="2"/>
      <w:szCs w:val="2"/>
    </w:rPr>
  </w:style>
  <w:style w:type="character" w:styleId="PageNumber">
    <w:name w:val="page number"/>
    <w:basedOn w:val="DefaultParagraphFont"/>
    <w:rsid w:val="003D63B2"/>
  </w:style>
  <w:style w:type="paragraph" w:styleId="Quote">
    <w:name w:val="Quote"/>
    <w:basedOn w:val="Heading1"/>
    <w:link w:val="QuoteChar"/>
    <w:qFormat/>
    <w:rsid w:val="003D63B2"/>
    <w:rPr>
      <w:b w:val="0"/>
      <w:sz w:val="72"/>
      <w:szCs w:val="72"/>
      <w:lang w:val="en-NZ"/>
    </w:rPr>
  </w:style>
  <w:style w:type="character" w:customStyle="1" w:styleId="QuoteChar">
    <w:name w:val="Quote Char"/>
    <w:basedOn w:val="DefaultParagraphFont"/>
    <w:link w:val="Quote"/>
    <w:rsid w:val="003D63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63B2"/>
    <w:pPr>
      <w:pageBreakBefore/>
    </w:pPr>
  </w:style>
  <w:style w:type="paragraph" w:customStyle="1" w:styleId="Border">
    <w:name w:val="Border"/>
    <w:basedOn w:val="Normal"/>
    <w:qFormat/>
    <w:rsid w:val="003D63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63B2"/>
    <w:rPr>
      <w:b/>
      <w:bCs/>
      <w:i/>
      <w:iCs/>
      <w:color w:val="auto"/>
    </w:rPr>
  </w:style>
  <w:style w:type="paragraph" w:styleId="IntenseQuote">
    <w:name w:val="Intense Quote"/>
    <w:basedOn w:val="Normal"/>
    <w:next w:val="Normal"/>
    <w:link w:val="IntenseQuoteChar"/>
    <w:uiPriority w:val="30"/>
    <w:qFormat/>
    <w:rsid w:val="003D63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63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63B2"/>
    <w:rPr>
      <w:smallCaps/>
      <w:color w:val="auto"/>
      <w:u w:val="single"/>
    </w:rPr>
  </w:style>
  <w:style w:type="character" w:styleId="IntenseReference">
    <w:name w:val="Intense Reference"/>
    <w:basedOn w:val="DefaultParagraphFont"/>
    <w:uiPriority w:val="32"/>
    <w:qFormat/>
    <w:rsid w:val="003D63B2"/>
    <w:rPr>
      <w:b/>
      <w:bCs/>
      <w:smallCaps/>
      <w:color w:val="auto"/>
      <w:spacing w:val="5"/>
      <w:u w:val="single"/>
    </w:rPr>
  </w:style>
  <w:style w:type="paragraph" w:customStyle="1" w:styleId="2ColumnHeading">
    <w:name w:val="2Column Heading"/>
    <w:basedOn w:val="BodyText"/>
    <w:qFormat/>
    <w:rsid w:val="003D63B2"/>
    <w:pPr>
      <w:spacing w:after="60"/>
      <w:ind w:left="-2268"/>
    </w:pPr>
    <w:rPr>
      <w:b/>
    </w:rPr>
  </w:style>
  <w:style w:type="paragraph" w:customStyle="1" w:styleId="Heading1TOC">
    <w:name w:val="Heading1 TOC"/>
    <w:basedOn w:val="Normal"/>
    <w:qFormat/>
    <w:rsid w:val="003D63B2"/>
    <w:pPr>
      <w:spacing w:before="240" w:after="120"/>
    </w:pPr>
    <w:rPr>
      <w:rFonts w:ascii="Times New Roman" w:hAnsi="Times New Roman"/>
      <w:b/>
      <w:sz w:val="32"/>
    </w:rPr>
  </w:style>
  <w:style w:type="paragraph" w:customStyle="1" w:styleId="Heading2TOC">
    <w:name w:val="Heading2 TOC"/>
    <w:basedOn w:val="Normal"/>
    <w:qFormat/>
    <w:rsid w:val="003D63B2"/>
    <w:pPr>
      <w:spacing w:before="240" w:after="60"/>
    </w:pPr>
    <w:rPr>
      <w:rFonts w:ascii="Times New Roman" w:hAnsi="Times New Roman"/>
      <w:b/>
      <w:sz w:val="28"/>
    </w:rPr>
  </w:style>
  <w:style w:type="character" w:customStyle="1" w:styleId="Underline">
    <w:name w:val="Underline"/>
    <w:basedOn w:val="DefaultParagraphFont"/>
    <w:qFormat/>
    <w:rsid w:val="003D63B2"/>
    <w:rPr>
      <w:u w:val="single"/>
    </w:rPr>
  </w:style>
  <w:style w:type="paragraph" w:styleId="BalloonText">
    <w:name w:val="Balloon Text"/>
    <w:basedOn w:val="Normal"/>
    <w:link w:val="BalloonTextChar"/>
    <w:rsid w:val="003D63B2"/>
    <w:rPr>
      <w:rFonts w:ascii="Tahoma" w:hAnsi="Tahoma" w:cs="Tahoma"/>
      <w:sz w:val="16"/>
      <w:szCs w:val="16"/>
    </w:rPr>
  </w:style>
  <w:style w:type="character" w:customStyle="1" w:styleId="BalloonTextChar">
    <w:name w:val="Balloon Text Char"/>
    <w:basedOn w:val="DefaultParagraphFont"/>
    <w:link w:val="BalloonText"/>
    <w:rsid w:val="003D63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63B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D63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63B2"/>
    <w:rPr>
      <w:b/>
      <w:color w:val="660033"/>
      <w:spacing w:val="0"/>
    </w:rPr>
  </w:style>
  <w:style w:type="paragraph" w:customStyle="1" w:styleId="Nameditemlist">
    <w:name w:val="Named item list"/>
    <w:basedOn w:val="BodyText"/>
    <w:qFormat/>
    <w:rsid w:val="003D63B2"/>
    <w:pPr>
      <w:tabs>
        <w:tab w:val="left" w:pos="2835"/>
      </w:tabs>
      <w:ind w:left="2835" w:hanging="2835"/>
    </w:pPr>
  </w:style>
  <w:style w:type="paragraph" w:customStyle="1" w:styleId="BodyTextnopadding">
    <w:name w:val="Body Text no padding"/>
    <w:basedOn w:val="BodyText"/>
    <w:qFormat/>
    <w:rsid w:val="003D63B2"/>
    <w:pPr>
      <w:spacing w:before="0" w:after="0"/>
    </w:pPr>
  </w:style>
  <w:style w:type="paragraph" w:customStyle="1" w:styleId="BodyTextBold">
    <w:name w:val="Body Text Bold"/>
    <w:basedOn w:val="BodyText"/>
    <w:qFormat/>
    <w:rsid w:val="003D63B2"/>
    <w:rPr>
      <w:b/>
    </w:rPr>
  </w:style>
  <w:style w:type="character" w:styleId="Hyperlink">
    <w:name w:val="Hyperlink"/>
    <w:basedOn w:val="DefaultParagraphFont"/>
    <w:uiPriority w:val="99"/>
    <w:unhideWhenUsed/>
    <w:rsid w:val="00B8016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1597</Words>
  <Characters>9632</Characters>
  <Application>Microsoft Office Word</Application>
  <DocSecurity>0</DocSecurity>
  <Lines>356</Lines>
  <Paragraphs>215</Paragraphs>
  <ScaleCrop>false</ScaleCrop>
  <Company>Author-it Software Corporation Ltd.</Company>
  <LinksUpToDate>false</LinksUpToDate>
  <CharactersWithSpaces>11014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CPCCCM2010 Work safely on scaffolding higher than two metres</dc:title>
  <dc:subject>Approved</dc:subject>
  <dc:creator>BuildSkills Australia</dc:creator>
  <cp:keywords>Release: 1</cp:keywords>
  <dc:description>Review Date: 12 April 2008</dc:description>
  <cp:lastModifiedBy>HSD_TPCMSd.prod</cp:lastModifiedBy>
  <cp:revision>3</cp:revision>
  <dcterms:created xsi:type="dcterms:W3CDTF">2025-03-02T01:49:00Z</dcterms:created>
  <dcterms:modified xsi:type="dcterms:W3CDTF">2025-03-02T01:49:00Z</dcterms:modified>
</cp:coreProperties>
</file>