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47B" w:rsidP="00792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CPCCCM2008 Erect and dismantle restricted height scaffolding</w:t>
      </w:r>
      <w:r>
        <w:fldChar w:fldCharType="end"/>
      </w:r>
    </w:p>
    <w:p w:rsidR="0079247B" w:rsidP="0079247B">
      <w:pPr>
        <w:pStyle w:val="Version"/>
        <w:sectPr w:rsidSect="00332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12C" w:rsidP="0033212C">
      <w:pPr>
        <w:pStyle w:val="SuperHeading"/>
      </w:pPr>
      <w:r w:rsidRPr="0033212C">
        <w:t>CPCCCM2008 Erect and dismantle restricted height scaffolding</w:t>
      </w:r>
    </w:p>
    <w:p w:rsidR="00000000" w:rsidRPr="0033212C" w:rsidP="0033212C">
      <w:pPr>
        <w:pStyle w:val="Heading1"/>
      </w:pPr>
      <w:bookmarkStart w:id="1" w:name="O_1013753"/>
      <w:bookmarkEnd w:id="1"/>
      <w:r w:rsidRPr="0033212C">
        <w:t>Modification History</w:t>
      </w:r>
    </w:p>
    <w:p w:rsidR="00000000" w:rsidRPr="0033212C" w:rsidP="0079247B">
      <w:pPr>
        <w:pStyle w:val="BodyText"/>
      </w:pPr>
      <w:r w:rsidRPr="0033212C">
        <w:t>Release 1.</w:t>
      </w:r>
    </w:p>
    <w:p w:rsidR="00000000" w:rsidRPr="0033212C" w:rsidP="0079247B">
      <w:pPr>
        <w:pStyle w:val="BodyText"/>
      </w:pPr>
      <w:r w:rsidRPr="0033212C">
        <w:t>Supersedes and equivalent to CPCCCM2008B Erect and dismantle restricted height scaffolding.</w:t>
      </w:r>
    </w:p>
    <w:p w:rsidR="00000000" w:rsidRPr="0033212C" w:rsidP="0079247B">
      <w:pPr>
        <w:pStyle w:val="BodyText"/>
      </w:pPr>
      <w:r w:rsidRPr="0033212C">
        <w:t>The unit of competency was updated to the Standards for Training Packages 2012.</w:t>
      </w:r>
    </w:p>
    <w:p w:rsidR="00000000" w:rsidRPr="0033212C" w:rsidP="0079247B">
      <w:pPr>
        <w:pStyle w:val="BodyText"/>
      </w:pPr>
      <w:r w:rsidRPr="0033212C">
        <w:t>This version first released with C</w:t>
      </w:r>
      <w:r w:rsidRPr="0033212C">
        <w:t>PC Construction, Plumbing and Services Training Package Version 4.0.</w:t>
      </w:r>
    </w:p>
    <w:p w:rsidR="00000000" w:rsidRPr="0033212C" w:rsidP="0033212C">
      <w:pPr>
        <w:pStyle w:val="Heading1"/>
      </w:pPr>
      <w:bookmarkStart w:id="2" w:name="O_1013759"/>
      <w:bookmarkEnd w:id="2"/>
      <w:r w:rsidRPr="0033212C">
        <w:t>Application</w:t>
      </w:r>
    </w:p>
    <w:p w:rsidR="00000000" w:rsidRPr="0033212C" w:rsidP="0079247B">
      <w:pPr>
        <w:pStyle w:val="BodyText"/>
      </w:pPr>
      <w:r w:rsidRPr="0033212C">
        <w:t>This unit specifies the skills and knowledge required to erect and dismantle restricted height scaffolding to provide work platforms for various occupationa</w:t>
      </w:r>
      <w:r w:rsidRPr="0033212C">
        <w:t xml:space="preserve">l applications. </w:t>
      </w:r>
    </w:p>
    <w:p w:rsidR="00000000" w:rsidRPr="0033212C" w:rsidP="0079247B">
      <w:pPr>
        <w:pStyle w:val="BodyText"/>
      </w:pPr>
      <w:r w:rsidRPr="0033212C">
        <w:t>This unit is restricted to modular scaffolding to a height of 4 metres and includes:</w:t>
      </w:r>
    </w:p>
    <w:p w:rsidR="00000000" w:rsidRPr="0033212C" w:rsidP="0033212C">
      <w:pPr>
        <w:pStyle w:val="ListBullet"/>
      </w:pPr>
      <w:r w:rsidRPr="0033212C">
        <w:t>placement of safety barriers</w:t>
      </w:r>
    </w:p>
    <w:p w:rsidR="00000000" w:rsidRPr="0033212C" w:rsidP="0033212C">
      <w:pPr>
        <w:pStyle w:val="ListBullet"/>
      </w:pPr>
      <w:r w:rsidRPr="0033212C">
        <w:t>the application of knowledge to handle, erect and dismantle a range of restricted height scaffolding systems.</w:t>
      </w:r>
    </w:p>
    <w:p w:rsidR="00000000" w:rsidRPr="0033212C" w:rsidP="0079247B">
      <w:pPr>
        <w:pStyle w:val="BodyText"/>
      </w:pPr>
      <w:r w:rsidRPr="0033212C">
        <w:t xml:space="preserve">It applies to </w:t>
      </w:r>
      <w:r w:rsidRPr="0033212C">
        <w:t>workers who work in a range of industries. It involves working in a team environment.</w:t>
      </w:r>
    </w:p>
    <w:p w:rsidR="00000000" w:rsidRPr="0033212C" w:rsidP="0079247B">
      <w:pPr>
        <w:pStyle w:val="BodyText"/>
      </w:pPr>
      <w:r w:rsidRPr="0033212C">
        <w:t>No licensing, legislative, or certification requirements apply to this unit at the time of publication.</w:t>
      </w:r>
    </w:p>
    <w:p w:rsidR="00000000" w:rsidRPr="0033212C" w:rsidP="0033212C">
      <w:pPr>
        <w:pStyle w:val="Heading1"/>
      </w:pPr>
      <w:bookmarkStart w:id="3" w:name="O_1013758"/>
      <w:bookmarkEnd w:id="3"/>
      <w:r w:rsidRPr="0033212C">
        <w:t>Pre-requisite Unit</w:t>
      </w:r>
    </w:p>
    <w:p w:rsidR="00000000" w:rsidRPr="0033212C" w:rsidP="0079247B">
      <w:pPr>
        <w:pStyle w:val="BodyText"/>
      </w:pPr>
      <w:r w:rsidRPr="0033212C">
        <w:t>CPCCWHS2001 Apply WHS requir</w:t>
      </w:r>
      <w:r w:rsidRPr="0033212C">
        <w:t>ements, policies and procedures in the construction industry</w:t>
      </w:r>
    </w:p>
    <w:p w:rsidR="00000000" w:rsidRPr="0033212C" w:rsidP="0033212C">
      <w:pPr>
        <w:pStyle w:val="Heading1"/>
      </w:pPr>
      <w:bookmarkStart w:id="4" w:name="O_1013757"/>
      <w:bookmarkEnd w:id="4"/>
      <w:r w:rsidRPr="0033212C">
        <w:t>Unit Sector</w:t>
      </w:r>
    </w:p>
    <w:p w:rsidR="00000000" w:rsidRPr="0033212C" w:rsidP="0079247B">
      <w:pPr>
        <w:pStyle w:val="BodyText"/>
      </w:pPr>
      <w:r w:rsidRPr="0033212C">
        <w:t>Constrruction</w:t>
      </w:r>
    </w:p>
    <w:p w:rsidR="00000000" w:rsidRPr="0033212C" w:rsidP="0033212C">
      <w:pPr>
        <w:pStyle w:val="Heading1"/>
      </w:pPr>
      <w:bookmarkStart w:id="5" w:name="O_1013756"/>
      <w:bookmarkEnd w:id="5"/>
      <w:r w:rsidRPr="0033212C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Performance criteria describe what needs to be done to demonstrate achievement of the element.</w:t>
            </w:r>
          </w:p>
        </w:tc>
      </w:tr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1.</w:t>
            </w:r>
            <w:r w:rsidRPr="0033212C">
              <w:tab/>
              <w:t xml:space="preserve">Plan to erect </w:t>
            </w:r>
            <w:r w:rsidRPr="0033212C">
              <w:t>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C" w:rsidP="0033212C">
            <w:pPr>
              <w:pStyle w:val="BodyText"/>
            </w:pPr>
            <w:r w:rsidRPr="0033212C">
              <w:t>1.1</w:t>
            </w:r>
            <w:r w:rsidRPr="0033212C">
              <w:tab/>
              <w:t>Review</w:t>
            </w:r>
            <w:r w:rsidRPr="0033212C">
              <w:rPr>
                <w:rStyle w:val="BoldandItalics"/>
              </w:rPr>
              <w:t xml:space="preserve"> </w:t>
            </w:r>
            <w:r w:rsidRPr="0033212C">
              <w:t xml:space="preserve">scaffolding task and workplace-specific information </w:t>
            </w:r>
            <w:r w:rsidRPr="0033212C">
              <w:t>relating to the task and confirm with associated per</w:t>
            </w:r>
            <w:r w:rsidRPr="0033212C">
              <w:t>sonnel.</w:t>
            </w:r>
          </w:p>
          <w:p w:rsidR="00000000" w:rsidRPr="0033212C" w:rsidP="0033212C">
            <w:pPr>
              <w:pStyle w:val="BodyText"/>
            </w:pPr>
            <w:r w:rsidRPr="0033212C">
              <w:t>1.2</w:t>
            </w:r>
            <w:r w:rsidRPr="0033212C">
              <w:tab/>
              <w:t>Identify environmental protection and legislative</w:t>
            </w:r>
            <w:r w:rsidRPr="0033212C">
              <w:rPr>
                <w:rStyle w:val="BoldandItalics"/>
              </w:rPr>
              <w:t xml:space="preserve"> </w:t>
            </w:r>
            <w:r w:rsidRPr="0033212C">
              <w:t>requirements for scaffolding task and incorporate into planning and preparation.</w:t>
            </w:r>
          </w:p>
          <w:p w:rsidR="00000000" w:rsidRPr="0033212C" w:rsidP="0033212C">
            <w:pPr>
              <w:pStyle w:val="BodyText"/>
            </w:pPr>
            <w:r w:rsidRPr="0033212C">
              <w:t>1.3</w:t>
            </w:r>
            <w:r w:rsidRPr="0033212C">
              <w:tab/>
              <w:t xml:space="preserve">Identify hazards, control measures and equipment associated with the workplace and scaffolding task from job </w:t>
            </w:r>
            <w:r w:rsidRPr="0033212C">
              <w:t>safety analysis (JSA) and safe work method statement (SWMS).</w:t>
            </w:r>
          </w:p>
          <w:p w:rsidR="00000000" w:rsidRPr="0033212C" w:rsidP="0033212C">
            <w:pPr>
              <w:pStyle w:val="BodyText"/>
            </w:pPr>
            <w:r w:rsidRPr="0033212C">
              <w:t>1.4</w:t>
            </w:r>
            <w:r w:rsidRPr="0033212C">
              <w:tab/>
              <w:t>Calculate scaffolding and material requirements and incorporate into planning and preparation.</w:t>
            </w:r>
          </w:p>
          <w:p w:rsidR="00000000" w:rsidRPr="0033212C" w:rsidP="0033212C">
            <w:pPr>
              <w:pStyle w:val="BodyText"/>
            </w:pPr>
            <w:r w:rsidRPr="0033212C">
              <w:t>1.5</w:t>
            </w:r>
            <w:r w:rsidRPr="0033212C">
              <w:tab/>
              <w:t>Determine expected loading on scaffold and supporting structure using load tables, and incor</w:t>
            </w:r>
            <w:r w:rsidRPr="0033212C">
              <w:t>porate into planning and preparation.</w:t>
            </w:r>
          </w:p>
          <w:p w:rsidR="00000000" w:rsidRPr="0033212C" w:rsidP="0033212C">
            <w:pPr>
              <w:pStyle w:val="BodyText"/>
            </w:pPr>
            <w:r w:rsidRPr="0033212C">
              <w:t>1.6</w:t>
            </w:r>
            <w:r w:rsidRPr="0033212C">
              <w:tab/>
              <w:t>Identify site access and egress routes and incorporate into planning and preparation.</w:t>
            </w:r>
          </w:p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1.7</w:t>
            </w:r>
            <w:r w:rsidRPr="0033212C">
              <w:tab/>
              <w:t>Plan scaffolding task in accordance with workplace requirements.</w:t>
            </w:r>
          </w:p>
        </w:tc>
      </w:tr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2.</w:t>
            </w:r>
            <w:r w:rsidRPr="0033212C">
              <w:tab/>
              <w:t>Prepare to erect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C" w:rsidP="0033212C">
            <w:pPr>
              <w:pStyle w:val="BodyText"/>
            </w:pPr>
            <w:r w:rsidRPr="0033212C">
              <w:t>2.1</w:t>
            </w:r>
            <w:r w:rsidRPr="0033212C">
              <w:tab/>
              <w:t xml:space="preserve">Apply </w:t>
            </w:r>
            <w:r w:rsidRPr="0033212C">
              <w:t>risk control measures and equipment including installing safety signs and barriers and using personal protective equipment (PPE).</w:t>
            </w:r>
          </w:p>
          <w:p w:rsidR="00000000" w:rsidRPr="0033212C" w:rsidP="0033212C">
            <w:pPr>
              <w:pStyle w:val="BodyText"/>
            </w:pPr>
            <w:r w:rsidRPr="0033212C">
              <w:t>2.2</w:t>
            </w:r>
            <w:r w:rsidRPr="0033212C">
              <w:tab/>
              <w:t>Select plant, tools and equipment, check for serviceability and rectify or report any faults.</w:t>
            </w:r>
          </w:p>
          <w:p w:rsidR="00000000" w:rsidRPr="0033212C" w:rsidP="0033212C">
            <w:pPr>
              <w:pStyle w:val="BodyText"/>
            </w:pPr>
            <w:r w:rsidRPr="0033212C">
              <w:t>2.3</w:t>
            </w:r>
            <w:r w:rsidRPr="0033212C">
              <w:tab/>
              <w:t>Select, prepare and loca</w:t>
            </w:r>
            <w:r w:rsidRPr="0033212C">
              <w:t>te materials using safe handling techniques.</w:t>
            </w:r>
          </w:p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2.4</w:t>
            </w:r>
            <w:r w:rsidRPr="0033212C">
              <w:tab/>
              <w:t>Inspect scaffolding and components and label, reject or repair damaged items.</w:t>
            </w:r>
          </w:p>
        </w:tc>
      </w:tr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3.</w:t>
            </w:r>
            <w:r w:rsidRPr="0033212C">
              <w:tab/>
              <w:t>Erect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C" w:rsidP="0033212C">
            <w:pPr>
              <w:pStyle w:val="BodyText"/>
            </w:pPr>
            <w:r w:rsidRPr="0033212C">
              <w:t>3.1</w:t>
            </w:r>
            <w:r w:rsidRPr="0033212C">
              <w:tab/>
              <w:t>Establish footing in accordance with the Australian Standard for scaffolding.</w:t>
            </w:r>
          </w:p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3.2</w:t>
            </w:r>
            <w:r w:rsidRPr="0033212C">
              <w:tab/>
            </w:r>
            <w:r w:rsidRPr="0033212C">
              <w:t>Erect scaffolding in accordance with regulations, planned risk prevention and control measures, acceptable safe work practices and manufacturers’ specifications.</w:t>
            </w:r>
          </w:p>
        </w:tc>
      </w:tr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4.</w:t>
            </w:r>
            <w:r w:rsidRPr="0033212C">
              <w:tab/>
              <w:t>Inspect, repair and alter scaffolding up to 4 metres.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C" w:rsidP="0033212C">
            <w:pPr>
              <w:pStyle w:val="BodyText"/>
            </w:pPr>
            <w:r w:rsidRPr="0033212C">
              <w:t>4.1</w:t>
            </w:r>
            <w:r w:rsidRPr="0033212C">
              <w:tab/>
              <w:t xml:space="preserve">Inspect critical structural and </w:t>
            </w:r>
            <w:r w:rsidRPr="0033212C">
              <w:t>safety areas of scaffolding for damage, corrosion and wear.</w:t>
            </w:r>
          </w:p>
          <w:p w:rsidR="00000000" w:rsidRPr="0033212C" w:rsidP="0033212C">
            <w:pPr>
              <w:pStyle w:val="BodyText"/>
            </w:pPr>
            <w:r w:rsidRPr="0033212C">
              <w:t>4.2</w:t>
            </w:r>
            <w:r w:rsidRPr="0033212C">
              <w:tab/>
              <w:t>Check current use of scaffolding for compliance with type of scaffolding equipment.</w:t>
            </w:r>
          </w:p>
          <w:p w:rsidR="00000000" w:rsidRPr="0033212C" w:rsidP="0033212C">
            <w:pPr>
              <w:pStyle w:val="BodyText"/>
            </w:pPr>
            <w:r w:rsidRPr="0033212C">
              <w:t>4.3</w:t>
            </w:r>
            <w:r w:rsidRPr="0033212C">
              <w:tab/>
              <w:t>Review scaffolding to determine if changes or modifications were scheduled as per original planning.</w:t>
            </w:r>
          </w:p>
          <w:p w:rsidR="00000000" w:rsidRPr="0033212C" w:rsidP="0033212C">
            <w:pPr>
              <w:pStyle w:val="BodyText"/>
            </w:pPr>
            <w:r w:rsidRPr="0033212C">
              <w:t>4.4</w:t>
            </w:r>
            <w:r w:rsidRPr="0033212C">
              <w:tab/>
              <w:t>Carry out alterations or repairs.</w:t>
            </w:r>
          </w:p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4.5</w:t>
            </w:r>
            <w:r w:rsidRPr="0033212C">
              <w:tab/>
              <w:t>Complete inspection log and handover.</w:t>
            </w:r>
          </w:p>
        </w:tc>
      </w:tr>
      <w:tr w:rsidTr="0033212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C">
            <w:pPr>
              <w:pStyle w:val="BodyText"/>
              <w:rPr>
                <w:lang w:val="en-NZ"/>
              </w:rPr>
            </w:pPr>
            <w:r w:rsidRPr="0033212C">
              <w:t>5.</w:t>
            </w:r>
            <w:r w:rsidRPr="0033212C">
              <w:tab/>
              <w:t>Dismantle scaffolding up to 4 metres and clean up.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C" w:rsidP="0033212C">
            <w:pPr>
              <w:pStyle w:val="BodyText"/>
            </w:pPr>
            <w:r w:rsidRPr="0033212C">
              <w:t>5.1</w:t>
            </w:r>
            <w:r w:rsidRPr="0033212C">
              <w:tab/>
              <w:t>Dismantle scaffolding using reverse of procedure for erection.</w:t>
            </w:r>
          </w:p>
          <w:p w:rsidR="00000000" w:rsidRPr="0033212C" w:rsidP="0033212C">
            <w:pPr>
              <w:pStyle w:val="BodyText"/>
            </w:pPr>
            <w:r w:rsidRPr="0033212C">
              <w:t>5.2</w:t>
            </w:r>
            <w:r w:rsidRPr="0033212C">
              <w:tab/>
              <w:t>Clear work area and dispose of, re</w:t>
            </w:r>
            <w:r w:rsidRPr="0033212C">
              <w:noBreakHyphen/>
              <w:t>use or recycle mat</w:t>
            </w:r>
            <w:r w:rsidRPr="0033212C">
              <w:t>erials in accordance with legislation, regulations, codes of practice and task specifications.</w:t>
            </w:r>
          </w:p>
          <w:p w:rsidR="00000000" w:rsidRPr="0033212C" w:rsidP="0033212C">
            <w:pPr>
              <w:pStyle w:val="BodyText"/>
            </w:pPr>
            <w:r w:rsidRPr="0033212C">
              <w:t>5.3</w:t>
            </w:r>
            <w:r w:rsidRPr="0033212C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33212C" w:rsidP="0033212C">
      <w:pPr>
        <w:pStyle w:val="BodyText"/>
      </w:pPr>
    </w:p>
    <w:p w:rsidR="00000000" w:rsidRPr="0033212C" w:rsidP="0033212C">
      <w:pPr>
        <w:pStyle w:val="AllowPageBreak"/>
      </w:pPr>
    </w:p>
    <w:p w:rsidR="00000000" w:rsidRPr="0033212C" w:rsidP="0033212C">
      <w:pPr>
        <w:pStyle w:val="Heading1"/>
      </w:pPr>
      <w:bookmarkStart w:id="6" w:name="O_1013755"/>
      <w:bookmarkEnd w:id="6"/>
      <w:r w:rsidRPr="0033212C">
        <w:t>Foundation Skills</w:t>
      </w:r>
    </w:p>
    <w:p w:rsidR="00000000" w:rsidRPr="0033212C" w:rsidP="0079247B">
      <w:pPr>
        <w:pStyle w:val="BodyText"/>
      </w:pPr>
      <w:r w:rsidRPr="0033212C">
        <w:t>This section describes the language, literacy, numeracy and employment skills essential to performance in this unit but not explicit in the performance criteria.</w:t>
      </w:r>
    </w:p>
    <w:p w:rsidR="00000000" w:rsidRPr="0033212C" w:rsidP="0033212C">
      <w:pPr>
        <w:pStyle w:val="ListBullet"/>
      </w:pPr>
      <w:r w:rsidRPr="0033212C">
        <w:t xml:space="preserve">reading skills to: </w:t>
      </w:r>
    </w:p>
    <w:p w:rsidR="00000000" w:rsidRPr="0033212C" w:rsidP="0033212C">
      <w:pPr>
        <w:pStyle w:val="ListBullet2"/>
      </w:pPr>
      <w:r w:rsidRPr="0033212C">
        <w:t>understand written instructions, procedures and signage</w:t>
      </w:r>
    </w:p>
    <w:p w:rsidR="00000000" w:rsidRPr="0033212C" w:rsidP="0033212C">
      <w:pPr>
        <w:pStyle w:val="ListBullet"/>
      </w:pPr>
      <w:r w:rsidRPr="0033212C">
        <w:t>oral communication skills to:</w:t>
      </w:r>
    </w:p>
    <w:p w:rsidR="00000000" w:rsidRPr="0033212C" w:rsidP="0033212C">
      <w:pPr>
        <w:pStyle w:val="ListBullet2"/>
      </w:pPr>
      <w:r w:rsidRPr="0033212C">
        <w:t>use questioning to identify and confirm requirements</w:t>
      </w:r>
    </w:p>
    <w:p w:rsidR="00000000" w:rsidRPr="0033212C" w:rsidP="0033212C">
      <w:pPr>
        <w:pStyle w:val="ListBullet2"/>
      </w:pPr>
      <w:r w:rsidRPr="0033212C">
        <w:t>discuss cause of problems</w:t>
      </w:r>
    </w:p>
    <w:p w:rsidR="00000000" w:rsidRPr="0033212C" w:rsidP="0033212C">
      <w:pPr>
        <w:pStyle w:val="ListBullet2"/>
      </w:pPr>
      <w:r w:rsidRPr="0033212C">
        <w:t>report work site hazards, including faults in tools, equipment and materials</w:t>
      </w:r>
    </w:p>
    <w:p w:rsidR="00000000" w:rsidRPr="0033212C" w:rsidP="0033212C">
      <w:pPr>
        <w:pStyle w:val="ListBullet2"/>
      </w:pPr>
      <w:r w:rsidRPr="0033212C">
        <w:t>provide feed</w:t>
      </w:r>
      <w:r w:rsidRPr="0033212C">
        <w:t>back.</w:t>
      </w:r>
    </w:p>
    <w:p w:rsidR="00000000" w:rsidRPr="0033212C" w:rsidP="0033212C">
      <w:pPr>
        <w:pStyle w:val="AllowPageBreak"/>
      </w:pPr>
    </w:p>
    <w:p w:rsidR="00000000" w:rsidRPr="0033212C" w:rsidP="0033212C">
      <w:pPr>
        <w:pStyle w:val="Heading1"/>
      </w:pPr>
      <w:bookmarkStart w:id="7" w:name="O_1013754"/>
      <w:bookmarkEnd w:id="7"/>
      <w:r w:rsidRPr="0033212C">
        <w:t>Unit Mapping Information</w:t>
      </w:r>
    </w:p>
    <w:p w:rsidR="00000000" w:rsidRPr="0033212C" w:rsidP="0079247B">
      <w:pPr>
        <w:pStyle w:val="BodyText"/>
      </w:pPr>
      <w:r w:rsidRPr="0033212C">
        <w:t>Supersedes and is equivalent to CPCCCM2008B Erect and dismantle restricted height scaffolding.</w:t>
      </w:r>
    </w:p>
    <w:p w:rsidR="00000000" w:rsidRPr="0033212C" w:rsidP="0033212C">
      <w:pPr>
        <w:pStyle w:val="Heading1"/>
      </w:pPr>
      <w:bookmarkStart w:id="8" w:name="O_1013747"/>
      <w:bookmarkEnd w:id="8"/>
      <w:r w:rsidRPr="0033212C">
        <w:t>Links</w:t>
      </w:r>
    </w:p>
    <w:p w:rsidR="00000000" w:rsidRPr="0033212C" w:rsidP="0079247B">
      <w:pPr>
        <w:pStyle w:val="BodyText"/>
      </w:pPr>
      <w:r w:rsidRPr="0033212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10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212C" w:rsidP="0033212C"/>
    <w:sectPr w:rsidSect="00332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C" w:rsidRPr="0079247B" w:rsidP="00792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7B" w:rsidP="00332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47B" w:rsidP="00332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247B" w:rsidP="00332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12C" w:rsidRPr="0079247B" w:rsidP="00792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7B" w:rsidRPr="002D2AF8" w:rsidP="00332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CPCCCM2008 Erect and dismantle restricted height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9247B" w:rsidP="00332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44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EF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C3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12C"/>
  </w:style>
  <w:style w:type="character" w:customStyle="1" w:styleId="Heading1Char">
    <w:name w:val="Heading 1 Char"/>
    <w:basedOn w:val="DefaultParagraphFont"/>
    <w:link w:val="Heading1"/>
    <w:rsid w:val="00332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1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1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321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2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12C"/>
    <w:rPr>
      <w:b/>
      <w:spacing w:val="0"/>
    </w:rPr>
  </w:style>
  <w:style w:type="paragraph" w:customStyle="1" w:styleId="SuperTitle">
    <w:name w:val="SuperTitle"/>
    <w:basedOn w:val="Title"/>
    <w:rsid w:val="00332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12C"/>
    <w:rPr>
      <w:i/>
    </w:rPr>
  </w:style>
  <w:style w:type="paragraph" w:styleId="Caption">
    <w:name w:val="caption"/>
    <w:basedOn w:val="BodyText"/>
    <w:next w:val="Normal"/>
    <w:qFormat/>
    <w:rsid w:val="00332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12C"/>
  </w:style>
  <w:style w:type="paragraph" w:styleId="TableofFigures">
    <w:name w:val="table of figures"/>
    <w:basedOn w:val="Normal"/>
    <w:next w:val="Normal"/>
    <w:semiHidden/>
    <w:rsid w:val="00332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1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12C"/>
    <w:rPr>
      <w:rFonts w:ascii="Wingdings" w:hAnsi="Wingdings"/>
    </w:rPr>
  </w:style>
  <w:style w:type="paragraph" w:customStyle="1" w:styleId="TableHeading">
    <w:name w:val="Table Heading"/>
    <w:basedOn w:val="HeadingBase"/>
    <w:rsid w:val="00332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12C"/>
    <w:rPr>
      <w:color w:val="0033CC"/>
      <w:u w:val="none"/>
    </w:rPr>
  </w:style>
  <w:style w:type="paragraph" w:customStyle="1" w:styleId="BodyTextRight">
    <w:name w:val="Body Text Right"/>
    <w:basedOn w:val="BodyText"/>
    <w:rsid w:val="00332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12C"/>
    <w:rPr>
      <w:sz w:val="32"/>
    </w:rPr>
  </w:style>
  <w:style w:type="paragraph" w:customStyle="1" w:styleId="HeadingProcedure">
    <w:name w:val="Heading Procedure"/>
    <w:basedOn w:val="HeadingBase"/>
    <w:next w:val="Normal"/>
    <w:rsid w:val="00332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12C"/>
    <w:pPr>
      <w:spacing w:before="60" w:after="60"/>
    </w:pPr>
  </w:style>
  <w:style w:type="paragraph" w:styleId="ListContinue">
    <w:name w:val="List Continue"/>
    <w:basedOn w:val="List"/>
    <w:rsid w:val="0033212C"/>
    <w:pPr>
      <w:ind w:firstLine="0"/>
    </w:pPr>
  </w:style>
  <w:style w:type="paragraph" w:customStyle="1" w:styleId="ListNote">
    <w:name w:val="List Note"/>
    <w:basedOn w:val="List"/>
    <w:rsid w:val="00332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12C"/>
    <w:rPr>
      <w:rFonts w:ascii="Courier New" w:hAnsi="Courier New"/>
    </w:rPr>
  </w:style>
  <w:style w:type="paragraph" w:customStyle="1" w:styleId="NoteBullet">
    <w:name w:val="Note Bullet"/>
    <w:basedOn w:val="Note"/>
    <w:rsid w:val="00332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1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12C"/>
    <w:rPr>
      <w:b/>
      <w:smallCaps/>
    </w:rPr>
  </w:style>
  <w:style w:type="paragraph" w:customStyle="1" w:styleId="TableListNumber">
    <w:name w:val="Table List Number"/>
    <w:basedOn w:val="ListNumber"/>
    <w:rsid w:val="00332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12C"/>
    <w:pPr>
      <w:numPr>
        <w:numId w:val="9"/>
      </w:numPr>
    </w:pPr>
  </w:style>
  <w:style w:type="paragraph" w:customStyle="1" w:styleId="ListAlpha2">
    <w:name w:val="List Alpha 2"/>
    <w:basedOn w:val="List2"/>
    <w:rsid w:val="0033212C"/>
    <w:pPr>
      <w:numPr>
        <w:numId w:val="8"/>
      </w:numPr>
    </w:pPr>
  </w:style>
  <w:style w:type="paragraph" w:styleId="List2">
    <w:name w:val="List 2"/>
    <w:basedOn w:val="BodyText"/>
    <w:rsid w:val="00332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1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1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12C"/>
    <w:pPr>
      <w:numPr>
        <w:numId w:val="4"/>
      </w:numPr>
    </w:pPr>
  </w:style>
  <w:style w:type="paragraph" w:styleId="ListContinue2">
    <w:name w:val="List Continue 2"/>
    <w:basedOn w:val="List2"/>
    <w:rsid w:val="0033212C"/>
    <w:pPr>
      <w:ind w:firstLine="0"/>
    </w:pPr>
  </w:style>
  <w:style w:type="paragraph" w:styleId="ListContinue3">
    <w:name w:val="List Continue 3"/>
    <w:basedOn w:val="List3"/>
    <w:rsid w:val="0033212C"/>
    <w:pPr>
      <w:ind w:left="1021" w:firstLine="0"/>
    </w:pPr>
  </w:style>
  <w:style w:type="paragraph" w:styleId="ListContinue4">
    <w:name w:val="List Continue 4"/>
    <w:basedOn w:val="List4"/>
    <w:rsid w:val="0033212C"/>
    <w:pPr>
      <w:ind w:firstLine="0"/>
    </w:pPr>
  </w:style>
  <w:style w:type="paragraph" w:styleId="ListContinue5">
    <w:name w:val="List Continue 5"/>
    <w:basedOn w:val="List5"/>
    <w:rsid w:val="0033212C"/>
    <w:pPr>
      <w:ind w:firstLine="0"/>
    </w:pPr>
  </w:style>
  <w:style w:type="paragraph" w:styleId="ListNumber3">
    <w:name w:val="List Number 3"/>
    <w:basedOn w:val="List3"/>
    <w:rsid w:val="0033212C"/>
    <w:pPr>
      <w:numPr>
        <w:numId w:val="5"/>
      </w:numPr>
    </w:pPr>
  </w:style>
  <w:style w:type="paragraph" w:styleId="ListNumber4">
    <w:name w:val="List Number 4"/>
    <w:basedOn w:val="List4"/>
    <w:rsid w:val="0033212C"/>
    <w:pPr>
      <w:numPr>
        <w:numId w:val="6"/>
      </w:numPr>
    </w:pPr>
  </w:style>
  <w:style w:type="paragraph" w:styleId="ListNumber5">
    <w:name w:val="List Number 5"/>
    <w:basedOn w:val="List5"/>
    <w:rsid w:val="0033212C"/>
    <w:pPr>
      <w:numPr>
        <w:numId w:val="7"/>
      </w:numPr>
    </w:pPr>
  </w:style>
  <w:style w:type="paragraph" w:styleId="BlockText">
    <w:name w:val="Block Text"/>
    <w:basedOn w:val="Normal"/>
    <w:rsid w:val="00332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12C"/>
    <w:rPr>
      <w:sz w:val="16"/>
      <w:vertAlign w:val="superscript"/>
    </w:rPr>
  </w:style>
  <w:style w:type="character" w:customStyle="1" w:styleId="Symbols">
    <w:name w:val="Symbols"/>
    <w:basedOn w:val="DefaultParagraphFont"/>
    <w:rsid w:val="0033212C"/>
    <w:rPr>
      <w:rFonts w:ascii="Symbol" w:hAnsi="Symbol"/>
    </w:rPr>
  </w:style>
  <w:style w:type="character" w:customStyle="1" w:styleId="MenuOptions">
    <w:name w:val="Menu Options"/>
    <w:basedOn w:val="DefaultParagraphFont"/>
    <w:rsid w:val="00332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12C"/>
    <w:rPr>
      <w:b/>
    </w:rPr>
  </w:style>
  <w:style w:type="character" w:customStyle="1" w:styleId="Underlined">
    <w:name w:val="Underlined"/>
    <w:basedOn w:val="DefaultParagraphFont"/>
    <w:rsid w:val="0033212C"/>
    <w:rPr>
      <w:u w:val="single"/>
    </w:rPr>
  </w:style>
  <w:style w:type="paragraph" w:customStyle="1" w:styleId="TableBodyTextRight">
    <w:name w:val="Table Body Text Right"/>
    <w:basedOn w:val="TableBodyText"/>
    <w:rsid w:val="00332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12C"/>
    <w:rPr>
      <w:sz w:val="18"/>
    </w:rPr>
  </w:style>
  <w:style w:type="paragraph" w:customStyle="1" w:styleId="BodySmallRight">
    <w:name w:val="Body Small Right"/>
    <w:basedOn w:val="BodyTextRight"/>
    <w:rsid w:val="0033212C"/>
    <w:rPr>
      <w:sz w:val="18"/>
      <w:szCs w:val="18"/>
    </w:rPr>
  </w:style>
  <w:style w:type="paragraph" w:customStyle="1" w:styleId="MarginEdition">
    <w:name w:val="Margin Edition"/>
    <w:basedOn w:val="MarginNote"/>
    <w:rsid w:val="00332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12C"/>
    <w:rPr>
      <w:sz w:val="2"/>
      <w:szCs w:val="2"/>
    </w:rPr>
  </w:style>
  <w:style w:type="character" w:customStyle="1" w:styleId="Small">
    <w:name w:val="Small"/>
    <w:basedOn w:val="DefaultParagraphFont"/>
    <w:rsid w:val="0033212C"/>
    <w:rPr>
      <w:sz w:val="16"/>
    </w:rPr>
  </w:style>
  <w:style w:type="paragraph" w:customStyle="1" w:styleId="WideTable">
    <w:name w:val="Wide Table"/>
    <w:basedOn w:val="Normal"/>
    <w:rsid w:val="00332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12C"/>
  </w:style>
  <w:style w:type="paragraph" w:styleId="Quote">
    <w:name w:val="Quote"/>
    <w:basedOn w:val="Heading1"/>
    <w:link w:val="QuoteChar"/>
    <w:qFormat/>
    <w:rsid w:val="00332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12C"/>
    <w:pPr>
      <w:pageBreakBefore/>
    </w:pPr>
  </w:style>
  <w:style w:type="paragraph" w:customStyle="1" w:styleId="Border">
    <w:name w:val="Border"/>
    <w:basedOn w:val="Normal"/>
    <w:qFormat/>
    <w:rsid w:val="00332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12C"/>
    <w:rPr>
      <w:u w:val="single"/>
    </w:rPr>
  </w:style>
  <w:style w:type="paragraph" w:styleId="BalloonText">
    <w:name w:val="Balloon Text"/>
    <w:basedOn w:val="Normal"/>
    <w:link w:val="BalloonTextChar"/>
    <w:rsid w:val="00332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12C"/>
    <w:pPr>
      <w:spacing w:before="0" w:after="0"/>
    </w:pPr>
  </w:style>
  <w:style w:type="paragraph" w:customStyle="1" w:styleId="BodyTextBold">
    <w:name w:val="Body Text Bold"/>
    <w:basedOn w:val="BodyText"/>
    <w:qFormat/>
    <w:rsid w:val="0033212C"/>
    <w:rPr>
      <w:b/>
    </w:rPr>
  </w:style>
  <w:style w:type="character" w:styleId="Hyperlink">
    <w:name w:val="Hyperlink"/>
    <w:basedOn w:val="DefaultParagraphFont"/>
    <w:uiPriority w:val="99"/>
    <w:unhideWhenUsed/>
    <w:rsid w:val="00792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4076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CPCCCM2008 Erect and dismantle restricted height scaffolding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