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88D" w:rsidP="000C4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CPCCCM2008 Erect and dismantle restricted height scaffolding</w:t>
      </w:r>
      <w:r>
        <w:fldChar w:fldCharType="end"/>
      </w:r>
    </w:p>
    <w:p w:rsidR="000C488D" w:rsidP="000C488D">
      <w:pPr>
        <w:pStyle w:val="Version"/>
        <w:sectPr w:rsidSect="00883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ECE" w:rsidP="00883ECE">
      <w:pPr>
        <w:pStyle w:val="SuperHeading"/>
      </w:pPr>
      <w:r w:rsidRPr="00883ECE">
        <w:t>Assessment Requirements for CPCCCM2008 Erect and dismantle restricted height scaffolding</w:t>
      </w:r>
    </w:p>
    <w:p w:rsidR="00000000" w:rsidRPr="00883ECE" w:rsidP="00883ECE">
      <w:pPr>
        <w:pStyle w:val="Heading1"/>
      </w:pPr>
      <w:bookmarkStart w:id="1" w:name="O_1013749"/>
      <w:bookmarkEnd w:id="1"/>
      <w:r w:rsidRPr="00883ECE">
        <w:t>Modification History</w:t>
      </w:r>
    </w:p>
    <w:p w:rsidR="00000000" w:rsidRPr="00883ECE" w:rsidP="000C488D">
      <w:pPr>
        <w:pStyle w:val="BodyText"/>
      </w:pPr>
      <w:r w:rsidRPr="00883ECE">
        <w:t>Release 1.</w:t>
      </w:r>
    </w:p>
    <w:p w:rsidR="00000000" w:rsidRPr="00883ECE" w:rsidP="000C488D">
      <w:pPr>
        <w:pStyle w:val="BodyText"/>
      </w:pPr>
      <w:r w:rsidRPr="00883ECE">
        <w:t>Supersedes and equivalent to CPCCCM2008B Erect and dismantle restricted height scaffolding.</w:t>
      </w:r>
    </w:p>
    <w:p w:rsidR="00000000" w:rsidRPr="00883ECE" w:rsidP="000C488D">
      <w:pPr>
        <w:pStyle w:val="BodyText"/>
      </w:pPr>
      <w:r w:rsidRPr="00883ECE">
        <w:t>The unit of competency was updated to the Standards for Training Packages 2012.</w:t>
      </w:r>
    </w:p>
    <w:p w:rsidR="00000000" w:rsidRPr="00883ECE" w:rsidP="000C488D">
      <w:pPr>
        <w:pStyle w:val="BodyText"/>
      </w:pPr>
      <w:r w:rsidRPr="00883ECE">
        <w:t>This version first released with CPC Construction, Plumbing and Services Training Package Version 4.0.</w:t>
      </w:r>
    </w:p>
    <w:p w:rsidR="00000000" w:rsidRPr="00883ECE" w:rsidP="00883ECE">
      <w:pPr>
        <w:pStyle w:val="Heading1"/>
      </w:pPr>
      <w:bookmarkStart w:id="2" w:name="O_1013752"/>
      <w:bookmarkEnd w:id="2"/>
      <w:r w:rsidRPr="00883ECE">
        <w:t>Performance Evidence</w:t>
      </w:r>
    </w:p>
    <w:p w:rsidR="00000000" w:rsidRPr="00883ECE" w:rsidP="000C488D">
      <w:pPr>
        <w:pStyle w:val="BodyText"/>
      </w:pPr>
      <w:r w:rsidRPr="00883ECE">
        <w:t>A person who demonstrates compete</w:t>
      </w:r>
      <w:r w:rsidRPr="00883ECE">
        <w:t>ncy in this unit must erect and dismantle one modular scaffolding system up to four metres, including three bays (one with a return), one lift with ladder, and fall and edge protection.</w:t>
      </w:r>
    </w:p>
    <w:p w:rsidR="00000000" w:rsidRPr="00883ECE" w:rsidP="000C488D">
      <w:pPr>
        <w:pStyle w:val="BodyText"/>
      </w:pPr>
      <w:r w:rsidRPr="00883ECE">
        <w:t xml:space="preserve">In doing this, the person must meet the performance criteria for this </w:t>
      </w:r>
      <w:r w:rsidRPr="00883ECE">
        <w:t>unit.</w:t>
      </w:r>
    </w:p>
    <w:p w:rsidR="00000000" w:rsidRPr="00883ECE" w:rsidP="00883ECE">
      <w:pPr>
        <w:pStyle w:val="Heading1"/>
      </w:pPr>
      <w:bookmarkStart w:id="3" w:name="O_1013751"/>
      <w:bookmarkEnd w:id="3"/>
      <w:r w:rsidRPr="00883ECE">
        <w:t>Knowledge Evidence</w:t>
      </w:r>
    </w:p>
    <w:p w:rsidR="00000000" w:rsidRPr="00883ECE" w:rsidP="000C488D">
      <w:pPr>
        <w:pStyle w:val="BodyText"/>
      </w:pPr>
      <w:r w:rsidRPr="00883ECE">
        <w:t xml:space="preserve">To be competent in this unit, a person must demonstrate knowledge of: </w:t>
      </w:r>
    </w:p>
    <w:p w:rsidR="00000000" w:rsidRPr="00883ECE" w:rsidP="00883ECE">
      <w:pPr>
        <w:pStyle w:val="ListBullet"/>
      </w:pPr>
      <w:r w:rsidRPr="00883ECE">
        <w:t>processes for identifying and incorporating into planning for erecting and dismantling scaffolding up to 4 metres</w:t>
      </w:r>
    </w:p>
    <w:p w:rsidR="00000000" w:rsidRPr="00883ECE" w:rsidP="00883ECE">
      <w:pPr>
        <w:pStyle w:val="ListBullet"/>
      </w:pPr>
      <w:r w:rsidRPr="00883ECE">
        <w:t>task and workplace-specifi</w:t>
      </w:r>
      <w:r w:rsidRPr="00883ECE">
        <w:t>c information, including:</w:t>
      </w:r>
    </w:p>
    <w:p w:rsidR="00000000" w:rsidRPr="00883ECE" w:rsidP="00883ECE">
      <w:pPr>
        <w:pStyle w:val="ListBullet2"/>
      </w:pPr>
      <w:r w:rsidRPr="00883ECE">
        <w:t>diagrams and sketches</w:t>
      </w:r>
    </w:p>
    <w:p w:rsidR="00000000" w:rsidRPr="00883ECE" w:rsidP="00883ECE">
      <w:pPr>
        <w:pStyle w:val="ListBullet2"/>
      </w:pPr>
      <w:r w:rsidRPr="00883ECE">
        <w:t xml:space="preserve">engineering design specifications and manufacturers’ specifications </w:t>
      </w:r>
    </w:p>
    <w:p w:rsidR="00000000" w:rsidRPr="00883ECE" w:rsidP="00883ECE">
      <w:pPr>
        <w:pStyle w:val="ListBullet2"/>
      </w:pPr>
      <w:r w:rsidRPr="00883ECE">
        <w:t>safety date sheets (SDSs)</w:t>
      </w:r>
    </w:p>
    <w:p w:rsidR="00000000" w:rsidRPr="00883ECE" w:rsidP="00883ECE">
      <w:pPr>
        <w:pStyle w:val="ListBullet2"/>
      </w:pPr>
      <w:r w:rsidRPr="00883ECE">
        <w:t>regulatory and legislative requirements pertaining to erecting and dismantling restricted height scaffolding</w:t>
      </w:r>
    </w:p>
    <w:p w:rsidR="00000000" w:rsidRPr="00883ECE" w:rsidP="00883ECE">
      <w:pPr>
        <w:pStyle w:val="ListBullet2"/>
      </w:pPr>
      <w:r w:rsidRPr="00883ECE">
        <w:t>relevant Australian Standards.</w:t>
      </w:r>
    </w:p>
    <w:p w:rsidR="00000000" w:rsidRPr="00883ECE" w:rsidP="00883ECE">
      <w:pPr>
        <w:pStyle w:val="ListBullet"/>
      </w:pPr>
      <w:r w:rsidRPr="00883ECE">
        <w:t>safe work procedures related to erecting and dismantling restricted height scaffolding including job safety analysis (JSA) and safe work method statement (SWMS), risk control measures and equipment, including:</w:t>
      </w:r>
    </w:p>
    <w:p w:rsidR="00000000" w:rsidRPr="00883ECE" w:rsidP="00883ECE">
      <w:pPr>
        <w:pStyle w:val="ListBullet2"/>
      </w:pPr>
      <w:r w:rsidRPr="00883ECE">
        <w:t>signage and b</w:t>
      </w:r>
      <w:r w:rsidRPr="00883ECE">
        <w:t>arricades</w:t>
      </w:r>
    </w:p>
    <w:p w:rsidR="00000000" w:rsidRPr="00883ECE" w:rsidP="00883ECE">
      <w:pPr>
        <w:pStyle w:val="ListBullet2"/>
      </w:pPr>
      <w:r w:rsidRPr="00883ECE">
        <w:t>verbal, written and graphical instructions</w:t>
      </w:r>
    </w:p>
    <w:p w:rsidR="00000000" w:rsidRPr="00883ECE" w:rsidP="00883ECE">
      <w:pPr>
        <w:pStyle w:val="ListBullet2"/>
      </w:pPr>
      <w:r w:rsidRPr="00883ECE">
        <w:t>work schedules, plans and specifications</w:t>
      </w:r>
    </w:p>
    <w:p w:rsidR="00000000" w:rsidRPr="00883ECE" w:rsidP="00883ECE">
      <w:pPr>
        <w:pStyle w:val="ListBullet2"/>
      </w:pPr>
      <w:r w:rsidRPr="00883ECE">
        <w:t xml:space="preserve">scaffolding and material requirements </w:t>
      </w:r>
    </w:p>
    <w:p w:rsidR="00000000" w:rsidRPr="00883ECE" w:rsidP="00883ECE">
      <w:pPr>
        <w:pStyle w:val="ListBullet2"/>
      </w:pPr>
      <w:r w:rsidRPr="00883ECE">
        <w:t>expected loadings on scaffolding and supporting structures</w:t>
      </w:r>
    </w:p>
    <w:p w:rsidR="00000000" w:rsidRPr="00883ECE" w:rsidP="00883ECE">
      <w:pPr>
        <w:pStyle w:val="ListBullet2"/>
      </w:pPr>
      <w:r w:rsidRPr="00883ECE">
        <w:t>site access and egress routes.</w:t>
      </w:r>
    </w:p>
    <w:p w:rsidR="00000000" w:rsidRPr="00883ECE" w:rsidP="00883ECE">
      <w:pPr>
        <w:pStyle w:val="ListBullet"/>
      </w:pPr>
      <w:r w:rsidRPr="00883ECE">
        <w:t>processes for:</w:t>
      </w:r>
    </w:p>
    <w:p w:rsidR="00000000" w:rsidRPr="00883ECE" w:rsidP="00883ECE">
      <w:pPr>
        <w:pStyle w:val="ListBullet2"/>
      </w:pPr>
      <w:r w:rsidRPr="00883ECE">
        <w:t>selecting and ch</w:t>
      </w:r>
      <w:r w:rsidRPr="00883ECE">
        <w:t>ecking plant, tools and equipment and rectifying or reporting faults</w:t>
      </w:r>
    </w:p>
    <w:p w:rsidR="00000000" w:rsidRPr="00883ECE" w:rsidP="00883ECE">
      <w:pPr>
        <w:pStyle w:val="ListBullet2"/>
      </w:pPr>
      <w:r w:rsidRPr="00883ECE">
        <w:t>establishing footings for scaffolding up to 4 metres</w:t>
      </w:r>
    </w:p>
    <w:p w:rsidR="00000000" w:rsidRPr="00883ECE" w:rsidP="00883ECE">
      <w:pPr>
        <w:pStyle w:val="ListBullet2"/>
      </w:pPr>
      <w:r w:rsidRPr="00883ECE">
        <w:t>erecting and dismantling scaffolding up to 4 metres in accordance with regulat</w:t>
      </w:r>
      <w:r w:rsidRPr="00883ECE">
        <w:t>ions, planned risk prevention and control measures, acceptable safe work practices and manufacturers’ specifications</w:t>
      </w:r>
    </w:p>
    <w:p w:rsidR="00000000" w:rsidRPr="00883ECE" w:rsidP="00883ECE">
      <w:pPr>
        <w:pStyle w:val="ListBullet2"/>
      </w:pPr>
      <w:r w:rsidRPr="00883ECE">
        <w:t>inspecting critical structural and safety areas of scaffolding for damage, corrosion and wear</w:t>
      </w:r>
    </w:p>
    <w:p w:rsidR="00000000" w:rsidRPr="00883ECE" w:rsidP="00883ECE">
      <w:pPr>
        <w:pStyle w:val="ListBullet2"/>
      </w:pPr>
      <w:r w:rsidRPr="00883ECE">
        <w:t>checking current use of scaffolding for compl</w:t>
      </w:r>
      <w:r w:rsidRPr="00883ECE">
        <w:t>iance with type of scaffolding equipment</w:t>
      </w:r>
    </w:p>
    <w:p w:rsidR="00000000" w:rsidRPr="00883ECE" w:rsidP="00883ECE">
      <w:pPr>
        <w:pStyle w:val="ListBullet2"/>
      </w:pPr>
      <w:r w:rsidRPr="00883ECE">
        <w:t>cleaning, checking, maintaining and storing plant, tools and equipment.</w:t>
      </w:r>
    </w:p>
    <w:p w:rsidR="00000000" w:rsidRPr="00883ECE" w:rsidP="00883ECE">
      <w:pPr>
        <w:pStyle w:val="AllowPageBreak"/>
      </w:pPr>
    </w:p>
    <w:p w:rsidR="00000000" w:rsidRPr="00883ECE" w:rsidP="00883ECE">
      <w:pPr>
        <w:pStyle w:val="Heading1"/>
      </w:pPr>
      <w:bookmarkStart w:id="4" w:name="O_1013750"/>
      <w:bookmarkEnd w:id="4"/>
      <w:r w:rsidRPr="00883ECE">
        <w:t>Assessment Conditions</w:t>
      </w:r>
    </w:p>
    <w:p w:rsidR="00000000" w:rsidRPr="00883ECE" w:rsidP="000C488D">
      <w:pPr>
        <w:pStyle w:val="BodyText"/>
      </w:pPr>
      <w:r w:rsidRPr="00883ECE">
        <w:t>Assessors must satisfy the requirements for assessors contained in the Standards for Registered Traini</w:t>
      </w:r>
      <w:r w:rsidRPr="00883ECE">
        <w:t xml:space="preserve">ng Organisations. </w:t>
      </w:r>
    </w:p>
    <w:p w:rsidR="00000000" w:rsidRPr="00883ECE" w:rsidP="000C488D">
      <w:pPr>
        <w:pStyle w:val="BodyText"/>
      </w:pPr>
      <w:r w:rsidRPr="00883ECE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883ECE" w:rsidP="000C488D">
      <w:pPr>
        <w:pStyle w:val="BodyText"/>
      </w:pPr>
      <w:r w:rsidRPr="00883ECE">
        <w:t>Assessors are responsible f</w:t>
      </w:r>
      <w:r w:rsidRPr="00883ECE">
        <w:t>or ensuring that the person demonstrating competency has access to:</w:t>
      </w:r>
    </w:p>
    <w:p w:rsidR="00000000" w:rsidRPr="00883ECE" w:rsidP="00883ECE">
      <w:pPr>
        <w:pStyle w:val="ListBullet"/>
      </w:pPr>
      <w:r w:rsidRPr="00883ECE">
        <w:t>work sites and specifications to erect and dismantle a modular scaffolding system</w:t>
      </w:r>
    </w:p>
    <w:p w:rsidR="00000000" w:rsidRPr="00883ECE" w:rsidP="00883ECE">
      <w:pPr>
        <w:pStyle w:val="ListBullet"/>
      </w:pPr>
      <w:r w:rsidRPr="00883ECE">
        <w:t>JSAs, SWMSs and jurisdictional requirements relating to erecting and dismantling a modular scaffolding sy</w:t>
      </w:r>
      <w:r w:rsidRPr="00883ECE">
        <w:t>stem up to 4 metres</w:t>
      </w:r>
    </w:p>
    <w:p w:rsidR="00000000" w:rsidRPr="00883ECE" w:rsidP="00883ECE">
      <w:pPr>
        <w:pStyle w:val="ListBullet"/>
      </w:pPr>
      <w:r w:rsidRPr="00883ECE">
        <w:t>scaffolding site</w:t>
      </w:r>
    </w:p>
    <w:p w:rsidR="00000000" w:rsidRPr="00883ECE" w:rsidP="00883ECE">
      <w:pPr>
        <w:pStyle w:val="ListBullet"/>
      </w:pPr>
      <w:r w:rsidRPr="00883ECE">
        <w:t>scaffolding components and materials, safety equipment including signs, barricades and personal protective equipment (PPE)</w:t>
      </w:r>
    </w:p>
    <w:p w:rsidR="00000000" w:rsidRPr="00883ECE" w:rsidP="00883ECE">
      <w:pPr>
        <w:pStyle w:val="ListBullet"/>
      </w:pPr>
      <w:r w:rsidRPr="00883ECE">
        <w:t>plant, equipment and tools</w:t>
      </w:r>
    </w:p>
    <w:p w:rsidR="00000000" w:rsidRPr="00883ECE" w:rsidP="00883ECE">
      <w:pPr>
        <w:pStyle w:val="ListBullet"/>
      </w:pPr>
      <w:r w:rsidRPr="00883ECE">
        <w:t>load tables.</w:t>
      </w:r>
    </w:p>
    <w:p w:rsidR="00000000" w:rsidRPr="00883ECE" w:rsidP="00883ECE">
      <w:pPr>
        <w:pStyle w:val="AllowPageBreak"/>
      </w:pPr>
    </w:p>
    <w:p w:rsidR="00000000" w:rsidRPr="00883ECE" w:rsidP="00883ECE">
      <w:pPr>
        <w:pStyle w:val="Heading1"/>
      </w:pPr>
      <w:bookmarkStart w:id="5" w:name="O_1013748"/>
      <w:bookmarkEnd w:id="5"/>
      <w:r w:rsidRPr="00883ECE">
        <w:t>Links</w:t>
      </w:r>
    </w:p>
    <w:p w:rsidR="00000000" w:rsidRPr="00883ECE" w:rsidP="000C488D">
      <w:pPr>
        <w:pStyle w:val="BodyText"/>
      </w:pPr>
      <w:r w:rsidRPr="00883E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90B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83ECE" w:rsidP="00883ECE"/>
    <w:sectPr w:rsidSect="00883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CE" w:rsidRPr="000C488D" w:rsidP="000C4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8D" w:rsidP="00883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88D" w:rsidP="00883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C488D" w:rsidP="00883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ECE" w:rsidRPr="000C488D" w:rsidP="000C4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8D" w:rsidRPr="002D2AF8" w:rsidP="00883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CPCCCM2008 Erect and dismantle restricted height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C488D" w:rsidP="00883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6F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5ED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2A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ECE"/>
  </w:style>
  <w:style w:type="character" w:customStyle="1" w:styleId="Heading1Char">
    <w:name w:val="Heading 1 Char"/>
    <w:basedOn w:val="DefaultParagraphFont"/>
    <w:link w:val="Heading1"/>
    <w:rsid w:val="00883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E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E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3E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E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3ECE"/>
    <w:rPr>
      <w:b/>
      <w:spacing w:val="0"/>
    </w:rPr>
  </w:style>
  <w:style w:type="paragraph" w:customStyle="1" w:styleId="SuperTitle">
    <w:name w:val="SuperTitle"/>
    <w:basedOn w:val="Title"/>
    <w:rsid w:val="00883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ECE"/>
    <w:rPr>
      <w:i/>
    </w:rPr>
  </w:style>
  <w:style w:type="paragraph" w:styleId="Caption">
    <w:name w:val="caption"/>
    <w:basedOn w:val="BodyText"/>
    <w:next w:val="Normal"/>
    <w:qFormat/>
    <w:rsid w:val="00883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ECE"/>
  </w:style>
  <w:style w:type="paragraph" w:styleId="TableofFigures">
    <w:name w:val="table of figures"/>
    <w:basedOn w:val="Normal"/>
    <w:next w:val="Normal"/>
    <w:semiHidden/>
    <w:rsid w:val="00883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E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ECE"/>
    <w:rPr>
      <w:rFonts w:ascii="Wingdings" w:hAnsi="Wingdings"/>
    </w:rPr>
  </w:style>
  <w:style w:type="paragraph" w:customStyle="1" w:styleId="TableHeading">
    <w:name w:val="Table Heading"/>
    <w:basedOn w:val="HeadingBase"/>
    <w:rsid w:val="00883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ECE"/>
    <w:rPr>
      <w:color w:val="0033CC"/>
      <w:u w:val="none"/>
    </w:rPr>
  </w:style>
  <w:style w:type="paragraph" w:customStyle="1" w:styleId="BodyTextRight">
    <w:name w:val="Body Text Right"/>
    <w:basedOn w:val="BodyText"/>
    <w:rsid w:val="00883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E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ECE"/>
    <w:rPr>
      <w:sz w:val="32"/>
    </w:rPr>
  </w:style>
  <w:style w:type="paragraph" w:customStyle="1" w:styleId="HeadingProcedure">
    <w:name w:val="Heading Procedure"/>
    <w:basedOn w:val="HeadingBase"/>
    <w:next w:val="Normal"/>
    <w:rsid w:val="00883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ECE"/>
    <w:pPr>
      <w:spacing w:before="60" w:after="60"/>
    </w:pPr>
  </w:style>
  <w:style w:type="paragraph" w:styleId="ListContinue">
    <w:name w:val="List Continue"/>
    <w:basedOn w:val="List"/>
    <w:rsid w:val="00883ECE"/>
    <w:pPr>
      <w:ind w:firstLine="0"/>
    </w:pPr>
  </w:style>
  <w:style w:type="paragraph" w:customStyle="1" w:styleId="ListNote">
    <w:name w:val="List Note"/>
    <w:basedOn w:val="List"/>
    <w:rsid w:val="00883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ECE"/>
    <w:rPr>
      <w:rFonts w:ascii="Courier New" w:hAnsi="Courier New"/>
    </w:rPr>
  </w:style>
  <w:style w:type="paragraph" w:customStyle="1" w:styleId="NoteBullet">
    <w:name w:val="Note Bullet"/>
    <w:basedOn w:val="Note"/>
    <w:rsid w:val="00883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E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ECE"/>
    <w:rPr>
      <w:b/>
      <w:smallCaps/>
    </w:rPr>
  </w:style>
  <w:style w:type="paragraph" w:customStyle="1" w:styleId="TableListNumber">
    <w:name w:val="Table List Number"/>
    <w:basedOn w:val="ListNumber"/>
    <w:rsid w:val="00883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ECE"/>
    <w:pPr>
      <w:numPr>
        <w:numId w:val="9"/>
      </w:numPr>
    </w:pPr>
  </w:style>
  <w:style w:type="paragraph" w:customStyle="1" w:styleId="ListAlpha2">
    <w:name w:val="List Alpha 2"/>
    <w:basedOn w:val="List2"/>
    <w:rsid w:val="00883ECE"/>
    <w:pPr>
      <w:numPr>
        <w:numId w:val="8"/>
      </w:numPr>
    </w:pPr>
  </w:style>
  <w:style w:type="paragraph" w:styleId="List2">
    <w:name w:val="List 2"/>
    <w:basedOn w:val="BodyText"/>
    <w:rsid w:val="00883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E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E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ECE"/>
    <w:pPr>
      <w:numPr>
        <w:numId w:val="4"/>
      </w:numPr>
    </w:pPr>
  </w:style>
  <w:style w:type="paragraph" w:styleId="ListContinue2">
    <w:name w:val="List Continue 2"/>
    <w:basedOn w:val="List2"/>
    <w:rsid w:val="00883ECE"/>
    <w:pPr>
      <w:ind w:firstLine="0"/>
    </w:pPr>
  </w:style>
  <w:style w:type="paragraph" w:styleId="ListContinue3">
    <w:name w:val="List Continue 3"/>
    <w:basedOn w:val="List3"/>
    <w:rsid w:val="00883ECE"/>
    <w:pPr>
      <w:ind w:left="1021" w:firstLine="0"/>
    </w:pPr>
  </w:style>
  <w:style w:type="paragraph" w:styleId="ListContinue4">
    <w:name w:val="List Continue 4"/>
    <w:basedOn w:val="List4"/>
    <w:rsid w:val="00883ECE"/>
    <w:pPr>
      <w:ind w:firstLine="0"/>
    </w:pPr>
  </w:style>
  <w:style w:type="paragraph" w:styleId="ListContinue5">
    <w:name w:val="List Continue 5"/>
    <w:basedOn w:val="List5"/>
    <w:rsid w:val="00883ECE"/>
    <w:pPr>
      <w:ind w:firstLine="0"/>
    </w:pPr>
  </w:style>
  <w:style w:type="paragraph" w:styleId="ListNumber3">
    <w:name w:val="List Number 3"/>
    <w:basedOn w:val="List3"/>
    <w:rsid w:val="00883ECE"/>
    <w:pPr>
      <w:numPr>
        <w:numId w:val="5"/>
      </w:numPr>
    </w:pPr>
  </w:style>
  <w:style w:type="paragraph" w:styleId="ListNumber4">
    <w:name w:val="List Number 4"/>
    <w:basedOn w:val="List4"/>
    <w:rsid w:val="00883ECE"/>
    <w:pPr>
      <w:numPr>
        <w:numId w:val="6"/>
      </w:numPr>
    </w:pPr>
  </w:style>
  <w:style w:type="paragraph" w:styleId="ListNumber5">
    <w:name w:val="List Number 5"/>
    <w:basedOn w:val="List5"/>
    <w:rsid w:val="00883ECE"/>
    <w:pPr>
      <w:numPr>
        <w:numId w:val="7"/>
      </w:numPr>
    </w:pPr>
  </w:style>
  <w:style w:type="paragraph" w:styleId="BlockText">
    <w:name w:val="Block Text"/>
    <w:basedOn w:val="Normal"/>
    <w:rsid w:val="00883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ECE"/>
    <w:rPr>
      <w:sz w:val="16"/>
      <w:vertAlign w:val="superscript"/>
    </w:rPr>
  </w:style>
  <w:style w:type="character" w:customStyle="1" w:styleId="Symbols">
    <w:name w:val="Symbols"/>
    <w:basedOn w:val="DefaultParagraphFont"/>
    <w:rsid w:val="00883ECE"/>
    <w:rPr>
      <w:rFonts w:ascii="Symbol" w:hAnsi="Symbol"/>
    </w:rPr>
  </w:style>
  <w:style w:type="character" w:customStyle="1" w:styleId="MenuOptions">
    <w:name w:val="Menu Options"/>
    <w:basedOn w:val="DefaultParagraphFont"/>
    <w:rsid w:val="00883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ECE"/>
    <w:rPr>
      <w:b/>
    </w:rPr>
  </w:style>
  <w:style w:type="character" w:customStyle="1" w:styleId="Underlined">
    <w:name w:val="Underlined"/>
    <w:basedOn w:val="DefaultParagraphFont"/>
    <w:rsid w:val="00883ECE"/>
    <w:rPr>
      <w:u w:val="single"/>
    </w:rPr>
  </w:style>
  <w:style w:type="paragraph" w:customStyle="1" w:styleId="TableBodyTextRight">
    <w:name w:val="Table Body Text Right"/>
    <w:basedOn w:val="TableBodyText"/>
    <w:rsid w:val="00883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ECE"/>
    <w:rPr>
      <w:sz w:val="18"/>
    </w:rPr>
  </w:style>
  <w:style w:type="paragraph" w:customStyle="1" w:styleId="BodySmallRight">
    <w:name w:val="Body Small Right"/>
    <w:basedOn w:val="BodyTextRight"/>
    <w:rsid w:val="00883ECE"/>
    <w:rPr>
      <w:sz w:val="18"/>
      <w:szCs w:val="18"/>
    </w:rPr>
  </w:style>
  <w:style w:type="paragraph" w:customStyle="1" w:styleId="MarginEdition">
    <w:name w:val="Margin Edition"/>
    <w:basedOn w:val="MarginNote"/>
    <w:rsid w:val="00883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ECE"/>
    <w:rPr>
      <w:sz w:val="2"/>
      <w:szCs w:val="2"/>
    </w:rPr>
  </w:style>
  <w:style w:type="character" w:customStyle="1" w:styleId="Small">
    <w:name w:val="Small"/>
    <w:basedOn w:val="DefaultParagraphFont"/>
    <w:rsid w:val="00883ECE"/>
    <w:rPr>
      <w:sz w:val="16"/>
    </w:rPr>
  </w:style>
  <w:style w:type="paragraph" w:customStyle="1" w:styleId="WideTable">
    <w:name w:val="Wide Table"/>
    <w:basedOn w:val="Normal"/>
    <w:rsid w:val="00883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ECE"/>
  </w:style>
  <w:style w:type="paragraph" w:styleId="Quote">
    <w:name w:val="Quote"/>
    <w:basedOn w:val="Heading1"/>
    <w:link w:val="QuoteChar"/>
    <w:qFormat/>
    <w:rsid w:val="00883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ECE"/>
    <w:pPr>
      <w:pageBreakBefore/>
    </w:pPr>
  </w:style>
  <w:style w:type="paragraph" w:customStyle="1" w:styleId="Border">
    <w:name w:val="Border"/>
    <w:basedOn w:val="Normal"/>
    <w:qFormat/>
    <w:rsid w:val="00883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ECE"/>
    <w:rPr>
      <w:u w:val="single"/>
    </w:rPr>
  </w:style>
  <w:style w:type="character" w:customStyle="1" w:styleId="BoldandItalics">
    <w:name w:val="Bold and Italics"/>
    <w:qFormat/>
    <w:rsid w:val="00883ECE"/>
    <w:rPr>
      <w:b/>
      <w:i/>
      <w:u w:val="none"/>
    </w:rPr>
  </w:style>
  <w:style w:type="paragraph" w:styleId="BalloonText">
    <w:name w:val="Balloon Text"/>
    <w:basedOn w:val="Normal"/>
    <w:link w:val="BalloonTextChar"/>
    <w:rsid w:val="00883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ECE"/>
    <w:pPr>
      <w:spacing w:before="0" w:after="0"/>
    </w:pPr>
  </w:style>
  <w:style w:type="paragraph" w:customStyle="1" w:styleId="BodyTextBold">
    <w:name w:val="Body Text Bold"/>
    <w:basedOn w:val="BodyText"/>
    <w:qFormat/>
    <w:rsid w:val="00883ECE"/>
    <w:rPr>
      <w:b/>
    </w:rPr>
  </w:style>
  <w:style w:type="character" w:styleId="Hyperlink">
    <w:name w:val="Hyperlink"/>
    <w:basedOn w:val="DefaultParagraphFont"/>
    <w:uiPriority w:val="99"/>
    <w:unhideWhenUsed/>
    <w:rsid w:val="000C4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3084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CPCCCM2008 Erect and dismantle restricted height scaffolding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