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0ED4" w:rsidP="00130E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CPCCCM2007 Use explosive power tools</w:t>
      </w:r>
      <w:r>
        <w:fldChar w:fldCharType="end"/>
      </w:r>
    </w:p>
    <w:p w:rsidR="00130ED4" w:rsidP="00130ED4">
      <w:pPr>
        <w:pStyle w:val="Version"/>
        <w:sectPr w:rsidSect="007910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910C6" w:rsidP="007910C6">
      <w:pPr>
        <w:pStyle w:val="SuperHeading"/>
      </w:pPr>
      <w:r w:rsidRPr="007910C6">
        <w:t>Assessment Requirements for CPCCCM2007 Use explosive power tools</w:t>
      </w:r>
    </w:p>
    <w:p w:rsidR="00000000" w:rsidRPr="007910C6" w:rsidP="007910C6">
      <w:pPr>
        <w:pStyle w:val="Heading1"/>
      </w:pPr>
      <w:bookmarkStart w:id="1" w:name="O_1239684"/>
      <w:bookmarkEnd w:id="1"/>
      <w:r w:rsidRPr="007910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91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C6">
            <w:pPr>
              <w:pStyle w:val="BodyText"/>
              <w:rPr>
                <w:lang w:val="en-NZ"/>
              </w:rPr>
            </w:pPr>
            <w:r w:rsidRPr="007910C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0C6" w:rsidP="007910C6">
            <w:pPr>
              <w:pStyle w:val="BodyText"/>
            </w:pPr>
            <w:r w:rsidRPr="007910C6">
              <w:t>This version first released with CPC Construction, Plumbing and Services Training Package Release 8.0.</w:t>
            </w:r>
          </w:p>
          <w:p w:rsidR="00000000" w:rsidRPr="007910C6" w:rsidP="007910C6">
            <w:pPr>
              <w:pStyle w:val="BodyText"/>
            </w:pPr>
            <w:r w:rsidRPr="007910C6">
              <w:t>Change to the Knowledge Evidence - removal of outdated references.</w:t>
            </w:r>
          </w:p>
          <w:p w:rsidR="00000000" w:rsidP="007910C6">
            <w:pPr>
              <w:pStyle w:val="BodyText"/>
              <w:rPr>
                <w:lang w:val="en-NZ"/>
              </w:rPr>
            </w:pPr>
            <w:r w:rsidRPr="007910C6">
              <w:t>Changes to the Performance Evidence.</w:t>
            </w:r>
          </w:p>
        </w:tc>
      </w:tr>
      <w:tr w:rsidTr="00791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C6">
            <w:pPr>
              <w:pStyle w:val="BodyText"/>
              <w:rPr>
                <w:lang w:val="en-NZ"/>
              </w:rPr>
            </w:pPr>
            <w:r w:rsidRPr="007910C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0C6" w:rsidP="007910C6">
            <w:pPr>
              <w:pStyle w:val="BodyText"/>
            </w:pPr>
            <w:r w:rsidRPr="007910C6">
              <w:t>This version first released with CPC Construction, Plumbing and Services Training Package Release 4.0.</w:t>
            </w:r>
          </w:p>
          <w:p w:rsidR="00000000" w:rsidRPr="007910C6" w:rsidP="007910C6">
            <w:pPr>
              <w:pStyle w:val="BodyText"/>
            </w:pPr>
            <w:r w:rsidRPr="007910C6">
              <w:t>Supersedes and equivalent to CPCCCM200</w:t>
            </w:r>
            <w:r w:rsidRPr="007910C6">
              <w:t>7B Use explosive power tools.  The unit of competency was updated to the Standards for Training Packages 2012.</w:t>
            </w:r>
          </w:p>
        </w:tc>
      </w:tr>
    </w:tbl>
    <w:p w:rsidR="00000000" w:rsidRPr="007910C6" w:rsidP="007910C6">
      <w:pPr>
        <w:pStyle w:val="BodyText"/>
      </w:pPr>
    </w:p>
    <w:p w:rsidR="00000000" w:rsidRPr="007910C6" w:rsidP="007910C6">
      <w:pPr>
        <w:pStyle w:val="AllowPageBreak"/>
      </w:pPr>
    </w:p>
    <w:p w:rsidR="00000000" w:rsidRPr="007910C6" w:rsidP="007910C6">
      <w:pPr>
        <w:pStyle w:val="Heading1"/>
      </w:pPr>
      <w:bookmarkStart w:id="2" w:name="O_1239683"/>
      <w:bookmarkEnd w:id="2"/>
      <w:r w:rsidRPr="007910C6">
        <w:t>Performance Evidence</w:t>
      </w:r>
    </w:p>
    <w:p w:rsidR="00130ED4" w:rsidP="00130ED4">
      <w:pPr>
        <w:pStyle w:val="BodyText"/>
      </w:pPr>
      <w:r w:rsidRPr="007910C6">
        <w:t>To demonstrate competency in this unit, a person must use explosive power tools (EPTs) to fix metal and</w:t>
      </w:r>
      <w:r w:rsidRPr="007910C6">
        <w:t xml:space="preserve"> timber to one steel base and one concrete base.</w:t>
      </w:r>
    </w:p>
    <w:p w:rsidR="00000000" w:rsidRPr="007910C6" w:rsidP="007910C6">
      <w:pPr>
        <w:pStyle w:val="Heading1"/>
      </w:pPr>
      <w:bookmarkStart w:id="3" w:name="O_1239682"/>
      <w:bookmarkEnd w:id="3"/>
      <w:r w:rsidRPr="007910C6">
        <w:t>Knowledge Evidence</w:t>
      </w:r>
    </w:p>
    <w:p w:rsidR="00000000" w:rsidRPr="007910C6" w:rsidP="00130ED4">
      <w:pPr>
        <w:pStyle w:val="BodyText"/>
      </w:pPr>
      <w:r w:rsidRPr="007910C6">
        <w:t xml:space="preserve">To be competent in this unit, a person must demonstrate knowledge of: </w:t>
      </w:r>
    </w:p>
    <w:p w:rsidR="00000000" w:rsidRPr="007910C6" w:rsidP="007910C6">
      <w:pPr>
        <w:pStyle w:val="ListBullet"/>
      </w:pPr>
      <w:r w:rsidRPr="007910C6">
        <w:t>jurisdictional legislation and regulations relating to </w:t>
      </w:r>
      <w:r w:rsidRPr="007910C6">
        <w:t>setting up, operating and maintaining indirect action EPTs including those for work health and safety (WHS), and protection of the environment, including:</w:t>
      </w:r>
    </w:p>
    <w:p w:rsidR="00000000" w:rsidRPr="007910C6" w:rsidP="007910C6">
      <w:pPr>
        <w:pStyle w:val="ListBullet2"/>
      </w:pPr>
      <w:r w:rsidRPr="007910C6">
        <w:t xml:space="preserve">job safety analyses (JSAs) </w:t>
      </w:r>
    </w:p>
    <w:p w:rsidR="00000000" w:rsidRPr="007910C6" w:rsidP="007910C6">
      <w:pPr>
        <w:pStyle w:val="ListBullet2"/>
      </w:pPr>
      <w:r w:rsidRPr="007910C6">
        <w:t>safe work method statements (SWMSs)</w:t>
      </w:r>
    </w:p>
    <w:p w:rsidR="00000000" w:rsidRPr="007910C6" w:rsidP="007910C6">
      <w:pPr>
        <w:pStyle w:val="ListBullet2"/>
      </w:pPr>
      <w:r w:rsidRPr="007910C6">
        <w:t>safety data sheets (SDSs)</w:t>
      </w:r>
    </w:p>
    <w:p w:rsidR="00000000" w:rsidRPr="007910C6" w:rsidP="007910C6">
      <w:pPr>
        <w:pStyle w:val="ListBullet2"/>
      </w:pPr>
      <w:r w:rsidRPr="007910C6">
        <w:t>safety man</w:t>
      </w:r>
      <w:r w:rsidRPr="007910C6">
        <w:t>uals and instructions for plant, tools and equipment</w:t>
      </w:r>
    </w:p>
    <w:p w:rsidR="00000000" w:rsidRPr="007910C6" w:rsidP="007910C6">
      <w:pPr>
        <w:pStyle w:val="ListBullet2"/>
      </w:pPr>
      <w:r w:rsidRPr="007910C6">
        <w:t>signage and barricades</w:t>
      </w:r>
    </w:p>
    <w:p w:rsidR="00000000" w:rsidRPr="007910C6" w:rsidP="007910C6">
      <w:pPr>
        <w:pStyle w:val="ListBullet2"/>
      </w:pPr>
      <w:r w:rsidRPr="007910C6">
        <w:t>personal protective equipment (PPE)</w:t>
      </w:r>
    </w:p>
    <w:p w:rsidR="00000000" w:rsidRPr="007910C6" w:rsidP="007910C6">
      <w:pPr>
        <w:pStyle w:val="ListBullet2"/>
      </w:pPr>
      <w:r w:rsidRPr="007910C6">
        <w:t>environmental and work site safety plans</w:t>
      </w:r>
    </w:p>
    <w:p w:rsidR="00000000" w:rsidRPr="007910C6" w:rsidP="007910C6">
      <w:pPr>
        <w:pStyle w:val="ListBullet"/>
      </w:pPr>
      <w:r w:rsidRPr="007910C6">
        <w:t>functions, operations and limitations of EPTs</w:t>
      </w:r>
    </w:p>
    <w:p w:rsidR="00000000" w:rsidRPr="007910C6" w:rsidP="007910C6">
      <w:pPr>
        <w:pStyle w:val="ListBullet"/>
      </w:pPr>
      <w:r w:rsidRPr="007910C6">
        <w:t>EPT materials</w:t>
      </w:r>
    </w:p>
    <w:p w:rsidR="00000000" w:rsidRPr="007910C6" w:rsidP="007910C6">
      <w:pPr>
        <w:pStyle w:val="ListBullet"/>
      </w:pPr>
      <w:r w:rsidRPr="007910C6">
        <w:t xml:space="preserve">EPT charges and fasteners </w:t>
      </w:r>
    </w:p>
    <w:p w:rsidR="00000000" w:rsidRPr="007910C6" w:rsidP="007910C6">
      <w:pPr>
        <w:pStyle w:val="ListBullet"/>
      </w:pPr>
      <w:r w:rsidRPr="007910C6">
        <w:t>EPT attachments, including channel, rebate and other manufacturer attachments</w:t>
      </w:r>
    </w:p>
    <w:p w:rsidR="00000000" w:rsidRPr="007910C6" w:rsidP="007910C6">
      <w:pPr>
        <w:pStyle w:val="ListBullet"/>
      </w:pPr>
      <w:r w:rsidRPr="007910C6">
        <w:t>EPT, fastener and charge manufacturers’ specifications</w:t>
      </w:r>
    </w:p>
    <w:p w:rsidR="00000000" w:rsidRPr="007910C6" w:rsidP="007910C6">
      <w:pPr>
        <w:pStyle w:val="ListBullet"/>
      </w:pPr>
      <w:r w:rsidRPr="007910C6">
        <w:t>processes for interpreting drawings and using information for:</w:t>
      </w:r>
    </w:p>
    <w:p w:rsidR="00000000" w:rsidRPr="007910C6" w:rsidP="007910C6">
      <w:pPr>
        <w:pStyle w:val="ListBullet2"/>
      </w:pPr>
      <w:r w:rsidRPr="007910C6">
        <w:t>setting-out fasteners, including:</w:t>
      </w:r>
    </w:p>
    <w:p w:rsidR="00000000" w:rsidRPr="007910C6" w:rsidP="007910C6">
      <w:pPr>
        <w:pStyle w:val="ListBullet3"/>
      </w:pPr>
      <w:r w:rsidRPr="007910C6">
        <w:t>regulated minimum distan</w:t>
      </w:r>
      <w:r w:rsidRPr="007910C6">
        <w:t>ces</w:t>
      </w:r>
    </w:p>
    <w:p w:rsidR="00000000" w:rsidRPr="007910C6" w:rsidP="007910C6">
      <w:pPr>
        <w:pStyle w:val="ListBullet3"/>
      </w:pPr>
      <w:r w:rsidRPr="007910C6">
        <w:t>bases, including concrete, masonry or steel</w:t>
      </w:r>
    </w:p>
    <w:p w:rsidR="00000000" w:rsidRPr="007910C6" w:rsidP="007910C6">
      <w:pPr>
        <w:pStyle w:val="ListBullet2"/>
      </w:pPr>
      <w:r w:rsidRPr="007910C6">
        <w:t>positioning material</w:t>
      </w:r>
    </w:p>
    <w:p w:rsidR="00000000" w:rsidRPr="007910C6" w:rsidP="007910C6">
      <w:pPr>
        <w:pStyle w:val="ListBullet"/>
      </w:pPr>
      <w:r w:rsidRPr="007910C6">
        <w:t>processes for:</w:t>
      </w:r>
    </w:p>
    <w:p w:rsidR="00000000" w:rsidRPr="007910C6" w:rsidP="007910C6">
      <w:pPr>
        <w:pStyle w:val="ListBullet2"/>
      </w:pPr>
      <w:r w:rsidRPr="007910C6">
        <w:t>using EPTs, including:</w:t>
      </w:r>
    </w:p>
    <w:p w:rsidR="00000000" w:rsidRPr="007910C6" w:rsidP="007910C6">
      <w:pPr>
        <w:pStyle w:val="ListBullet3"/>
      </w:pPr>
      <w:r w:rsidRPr="007910C6">
        <w:t>stripping and assembling tools</w:t>
      </w:r>
    </w:p>
    <w:p w:rsidR="00000000" w:rsidRPr="007910C6" w:rsidP="007910C6">
      <w:pPr>
        <w:pStyle w:val="ListBullet3"/>
      </w:pPr>
      <w:r w:rsidRPr="007910C6">
        <w:t>completing log of serviceability</w:t>
      </w:r>
    </w:p>
    <w:p w:rsidR="00000000" w:rsidRPr="007910C6" w:rsidP="007910C6">
      <w:pPr>
        <w:pStyle w:val="ListBullet3"/>
      </w:pPr>
      <w:r w:rsidRPr="007910C6">
        <w:t>maintaining and cleaning tools</w:t>
      </w:r>
    </w:p>
    <w:p w:rsidR="00000000" w:rsidRPr="007910C6" w:rsidP="007910C6">
      <w:pPr>
        <w:pStyle w:val="ListBullet3"/>
      </w:pPr>
      <w:r w:rsidRPr="007910C6">
        <w:t>selecting charges and fasteners applicable to the base material and material being fixed</w:t>
      </w:r>
    </w:p>
    <w:p w:rsidR="00000000" w:rsidRPr="007910C6" w:rsidP="007910C6">
      <w:pPr>
        <w:pStyle w:val="ListBullet3"/>
      </w:pPr>
      <w:r w:rsidRPr="007910C6">
        <w:t>misfire procedures</w:t>
      </w:r>
    </w:p>
    <w:p w:rsidR="00000000" w:rsidRPr="007910C6" w:rsidP="007910C6">
      <w:pPr>
        <w:pStyle w:val="ListBullet3"/>
      </w:pPr>
      <w:r w:rsidRPr="007910C6">
        <w:t>using attachments</w:t>
      </w:r>
    </w:p>
    <w:p w:rsidR="00000000" w:rsidRPr="007910C6" w:rsidP="007910C6">
      <w:pPr>
        <w:pStyle w:val="ListBullet3"/>
      </w:pPr>
      <w:r w:rsidRPr="007910C6">
        <w:t>complying with storage and security regulations and work health and safety (WHS) requirements for the working environment</w:t>
      </w:r>
    </w:p>
    <w:p w:rsidR="00000000" w:rsidRPr="007910C6" w:rsidP="007910C6">
      <w:pPr>
        <w:pStyle w:val="ListBullet3"/>
      </w:pPr>
      <w:r w:rsidRPr="007910C6">
        <w:t>selectin</w:t>
      </w:r>
      <w:r w:rsidRPr="007910C6">
        <w:t>g signage</w:t>
      </w:r>
    </w:p>
    <w:p w:rsidR="00000000" w:rsidRPr="007910C6" w:rsidP="007910C6">
      <w:pPr>
        <w:pStyle w:val="ListBullet3"/>
      </w:pPr>
      <w:r w:rsidRPr="007910C6">
        <w:t>test fire</w:t>
      </w:r>
    </w:p>
    <w:p w:rsidR="00000000" w:rsidRPr="007910C6" w:rsidP="007910C6">
      <w:pPr>
        <w:pStyle w:val="ListBullet2"/>
      </w:pPr>
      <w:r w:rsidRPr="007910C6">
        <w:t>maintaining EPTs and kits</w:t>
      </w:r>
    </w:p>
    <w:p w:rsidR="00000000" w:rsidRPr="007910C6" w:rsidP="007910C6">
      <w:pPr>
        <w:pStyle w:val="ListBullet2"/>
      </w:pPr>
      <w:r w:rsidRPr="007910C6">
        <w:t>securing and storing EPT equipment and charges</w:t>
      </w:r>
    </w:p>
    <w:p w:rsidR="00000000" w:rsidRPr="007910C6" w:rsidP="007910C6">
      <w:pPr>
        <w:pStyle w:val="ListBullet"/>
      </w:pPr>
      <w:r w:rsidRPr="007910C6">
        <w:t>materials storage and environmentally friendly waste management</w:t>
      </w:r>
    </w:p>
    <w:p w:rsidR="00000000" w:rsidRPr="007910C6" w:rsidP="007910C6">
      <w:pPr>
        <w:pStyle w:val="ListBullet"/>
      </w:pPr>
      <w:r w:rsidRPr="007910C6">
        <w:t>processes for the calculation of material requirements</w:t>
      </w:r>
    </w:p>
    <w:p w:rsidR="00000000" w:rsidRPr="007910C6" w:rsidP="007910C6">
      <w:pPr>
        <w:pStyle w:val="ListBullet"/>
      </w:pPr>
      <w:r w:rsidRPr="007910C6">
        <w:t>security and storage procedures for equipment and charges</w:t>
      </w:r>
    </w:p>
    <w:p w:rsidR="00000000" w:rsidRPr="007910C6" w:rsidP="007910C6">
      <w:pPr>
        <w:pStyle w:val="ListBullet"/>
      </w:pPr>
      <w:r w:rsidRPr="007910C6">
        <w:t>workplace and equipment safety requirements.</w:t>
      </w:r>
    </w:p>
    <w:p w:rsidR="00000000" w:rsidRPr="007910C6" w:rsidP="007910C6">
      <w:pPr>
        <w:pStyle w:val="AllowPageBreak"/>
      </w:pPr>
    </w:p>
    <w:p w:rsidR="00000000" w:rsidRPr="007910C6" w:rsidP="007910C6">
      <w:pPr>
        <w:pStyle w:val="Heading1"/>
      </w:pPr>
      <w:bookmarkStart w:id="4" w:name="O_1239681"/>
      <w:bookmarkEnd w:id="4"/>
      <w:r w:rsidRPr="007910C6">
        <w:t>Assessment Conditions</w:t>
      </w:r>
    </w:p>
    <w:p w:rsidR="00000000" w:rsidRPr="007910C6" w:rsidP="00130ED4">
      <w:pPr>
        <w:pStyle w:val="BodyText"/>
      </w:pPr>
      <w:r w:rsidRPr="007910C6">
        <w:t>Assessors must satisfy the requirements for assessors contained in the Standards for Registered Training Organis</w:t>
      </w:r>
      <w:r w:rsidRPr="007910C6">
        <w:t xml:space="preserve">ations. </w:t>
      </w:r>
    </w:p>
    <w:p w:rsidR="00000000" w:rsidRPr="007910C6" w:rsidP="00130ED4">
      <w:pPr>
        <w:pStyle w:val="BodyText"/>
      </w:pPr>
      <w:r w:rsidRPr="007910C6">
        <w:t xml:space="preserve">Assessment of performance must be undertaken in the workplace or in a simulated workplace environment. Tasks are to be performed to the level of proficiency and within the time limits expected in a workplace. </w:t>
      </w:r>
    </w:p>
    <w:p w:rsidR="00000000" w:rsidRPr="007910C6" w:rsidP="00130ED4">
      <w:pPr>
        <w:pStyle w:val="BodyText"/>
      </w:pPr>
      <w:r w:rsidRPr="007910C6">
        <w:t>Assessors are responsible for ensurin</w:t>
      </w:r>
      <w:r w:rsidRPr="007910C6">
        <w:t>g that the person demonstrating competency has access to:</w:t>
      </w:r>
    </w:p>
    <w:p w:rsidR="00000000" w:rsidRPr="007910C6" w:rsidP="007910C6">
      <w:pPr>
        <w:pStyle w:val="ListBullet"/>
      </w:pPr>
      <w:r w:rsidRPr="007910C6">
        <w:t>industry-standard indirect action EPTs, attachments, fasteners and charges</w:t>
      </w:r>
    </w:p>
    <w:p w:rsidR="00000000" w:rsidRPr="007910C6" w:rsidP="007910C6">
      <w:pPr>
        <w:pStyle w:val="ListBullet"/>
      </w:pPr>
      <w:r w:rsidRPr="007910C6">
        <w:t>specifications for tasks requiring use of EPTs</w:t>
      </w:r>
    </w:p>
    <w:p w:rsidR="00000000" w:rsidRPr="007910C6" w:rsidP="007910C6">
      <w:pPr>
        <w:pStyle w:val="ListBullet"/>
      </w:pPr>
      <w:r w:rsidRPr="007910C6">
        <w:t>appropriate documents, materials, tools equipment and PPE currently used in</w:t>
      </w:r>
      <w:r w:rsidRPr="007910C6">
        <w:t xml:space="preserve"> industry</w:t>
      </w:r>
    </w:p>
    <w:p w:rsidR="00000000" w:rsidRPr="007910C6" w:rsidP="007910C6">
      <w:pPr>
        <w:pStyle w:val="ListBullet"/>
      </w:pPr>
      <w:r w:rsidRPr="007910C6">
        <w:t>requirements of appropriate sections of legislation and regulations</w:t>
      </w:r>
    </w:p>
    <w:p w:rsidR="00000000" w:rsidRPr="007910C6" w:rsidP="007910C6">
      <w:pPr>
        <w:pStyle w:val="ListBullet"/>
      </w:pPr>
      <w:r w:rsidRPr="007910C6">
        <w:t>relevant workplace policies and procedures.</w:t>
      </w:r>
    </w:p>
    <w:p w:rsidR="00000000" w:rsidRPr="007910C6" w:rsidP="007910C6">
      <w:pPr>
        <w:pStyle w:val="AllowPageBreak"/>
      </w:pPr>
    </w:p>
    <w:p w:rsidR="00000000" w:rsidRPr="007910C6" w:rsidP="007910C6">
      <w:pPr>
        <w:pStyle w:val="Heading1"/>
      </w:pPr>
      <w:bookmarkStart w:id="5" w:name="O_1239694"/>
      <w:bookmarkEnd w:id="5"/>
      <w:r w:rsidRPr="007910C6">
        <w:t>Links</w:t>
      </w:r>
    </w:p>
    <w:p w:rsidR="00000000" w:rsidRPr="007910C6" w:rsidP="00130ED4">
      <w:pPr>
        <w:pStyle w:val="BodyText"/>
      </w:pPr>
      <w:r w:rsidRPr="007910C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A555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910C6" w:rsidP="007910C6"/>
    <w:sectPr w:rsidSect="007910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0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0C6" w:rsidRPr="00130ED4" w:rsidP="00130E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0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ED4" w:rsidP="007910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0ED4" w:rsidP="007910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30ED4" w:rsidP="007910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0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E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10C6" w:rsidRPr="00130ED4" w:rsidP="00130E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0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ED4" w:rsidRPr="002D2AF8" w:rsidP="007910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CPCCCM2007 Use explosive power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30ED4" w:rsidP="007910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F6BD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F03B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B0A7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0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10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10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10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10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10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10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10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10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10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10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10C6"/>
  </w:style>
  <w:style w:type="character" w:customStyle="1" w:styleId="Heading1Char">
    <w:name w:val="Heading 1 Char"/>
    <w:basedOn w:val="DefaultParagraphFont"/>
    <w:link w:val="Heading1"/>
    <w:rsid w:val="007910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10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10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10C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910C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10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10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910C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910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10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10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10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10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10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10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10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10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10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10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10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10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10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10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10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10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10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10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10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10C6"/>
    <w:rPr>
      <w:b/>
      <w:spacing w:val="0"/>
    </w:rPr>
  </w:style>
  <w:style w:type="paragraph" w:customStyle="1" w:styleId="SuperTitle">
    <w:name w:val="SuperTitle"/>
    <w:basedOn w:val="Title"/>
    <w:rsid w:val="007910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10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10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10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10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10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10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10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10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10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10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10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10C6"/>
    <w:rPr>
      <w:i/>
    </w:rPr>
  </w:style>
  <w:style w:type="paragraph" w:styleId="Caption">
    <w:name w:val="caption"/>
    <w:basedOn w:val="BodyText"/>
    <w:next w:val="Normal"/>
    <w:qFormat/>
    <w:rsid w:val="007910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10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10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10C6"/>
  </w:style>
  <w:style w:type="paragraph" w:styleId="TableofFigures">
    <w:name w:val="table of figures"/>
    <w:basedOn w:val="Normal"/>
    <w:next w:val="Normal"/>
    <w:semiHidden/>
    <w:rsid w:val="007910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10C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910C6"/>
    <w:rPr>
      <w:rFonts w:ascii="Wingdings" w:hAnsi="Wingdings"/>
    </w:rPr>
  </w:style>
  <w:style w:type="paragraph" w:customStyle="1" w:styleId="TableHeading">
    <w:name w:val="Table Heading"/>
    <w:basedOn w:val="HeadingBase"/>
    <w:rsid w:val="007910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10C6"/>
    <w:rPr>
      <w:color w:val="0033CC"/>
      <w:u w:val="none"/>
    </w:rPr>
  </w:style>
  <w:style w:type="paragraph" w:customStyle="1" w:styleId="BodyTextRight">
    <w:name w:val="Body Text Right"/>
    <w:basedOn w:val="BodyText"/>
    <w:rsid w:val="007910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10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10C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10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10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10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10C6"/>
    <w:rPr>
      <w:sz w:val="32"/>
    </w:rPr>
  </w:style>
  <w:style w:type="paragraph" w:customStyle="1" w:styleId="HeadingProcedure">
    <w:name w:val="Heading Procedure"/>
    <w:basedOn w:val="HeadingBase"/>
    <w:next w:val="Normal"/>
    <w:rsid w:val="007910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10C6"/>
    <w:pPr>
      <w:spacing w:before="60" w:after="60"/>
    </w:pPr>
  </w:style>
  <w:style w:type="paragraph" w:styleId="ListContinue">
    <w:name w:val="List Continue"/>
    <w:basedOn w:val="List"/>
    <w:rsid w:val="007910C6"/>
    <w:pPr>
      <w:ind w:firstLine="0"/>
    </w:pPr>
  </w:style>
  <w:style w:type="paragraph" w:customStyle="1" w:styleId="ListNote">
    <w:name w:val="List Note"/>
    <w:basedOn w:val="List"/>
    <w:rsid w:val="007910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10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10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10C6"/>
    <w:rPr>
      <w:rFonts w:ascii="Courier New" w:hAnsi="Courier New"/>
    </w:rPr>
  </w:style>
  <w:style w:type="paragraph" w:customStyle="1" w:styleId="NoteBullet">
    <w:name w:val="Note Bullet"/>
    <w:basedOn w:val="Note"/>
    <w:rsid w:val="007910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10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10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10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10C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910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10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10C6"/>
    <w:rPr>
      <w:b/>
      <w:smallCaps/>
    </w:rPr>
  </w:style>
  <w:style w:type="paragraph" w:customStyle="1" w:styleId="TableListNumber">
    <w:name w:val="Table List Number"/>
    <w:basedOn w:val="ListNumber"/>
    <w:rsid w:val="007910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10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10C6"/>
    <w:pPr>
      <w:numPr>
        <w:numId w:val="10"/>
      </w:numPr>
    </w:pPr>
  </w:style>
  <w:style w:type="paragraph" w:customStyle="1" w:styleId="ListAlpha2">
    <w:name w:val="List Alpha 2"/>
    <w:basedOn w:val="List2"/>
    <w:rsid w:val="007910C6"/>
    <w:pPr>
      <w:numPr>
        <w:numId w:val="9"/>
      </w:numPr>
    </w:pPr>
  </w:style>
  <w:style w:type="paragraph" w:styleId="List2">
    <w:name w:val="List 2"/>
    <w:basedOn w:val="BodyText"/>
    <w:rsid w:val="007910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10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10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10C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910C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910C6"/>
    <w:pPr>
      <w:numPr>
        <w:numId w:val="5"/>
      </w:numPr>
    </w:pPr>
  </w:style>
  <w:style w:type="paragraph" w:styleId="ListContinue2">
    <w:name w:val="List Continue 2"/>
    <w:basedOn w:val="List2"/>
    <w:rsid w:val="007910C6"/>
    <w:pPr>
      <w:ind w:firstLine="0"/>
    </w:pPr>
  </w:style>
  <w:style w:type="paragraph" w:styleId="ListContinue3">
    <w:name w:val="List Continue 3"/>
    <w:basedOn w:val="List3"/>
    <w:rsid w:val="007910C6"/>
    <w:pPr>
      <w:ind w:left="1021" w:firstLine="0"/>
    </w:pPr>
  </w:style>
  <w:style w:type="paragraph" w:styleId="ListContinue4">
    <w:name w:val="List Continue 4"/>
    <w:basedOn w:val="List4"/>
    <w:rsid w:val="007910C6"/>
    <w:pPr>
      <w:ind w:firstLine="0"/>
    </w:pPr>
  </w:style>
  <w:style w:type="paragraph" w:styleId="ListContinue5">
    <w:name w:val="List Continue 5"/>
    <w:basedOn w:val="List5"/>
    <w:rsid w:val="007910C6"/>
    <w:pPr>
      <w:ind w:firstLine="0"/>
    </w:pPr>
  </w:style>
  <w:style w:type="paragraph" w:styleId="ListNumber3">
    <w:name w:val="List Number 3"/>
    <w:basedOn w:val="List3"/>
    <w:rsid w:val="007910C6"/>
    <w:pPr>
      <w:numPr>
        <w:numId w:val="6"/>
      </w:numPr>
    </w:pPr>
  </w:style>
  <w:style w:type="paragraph" w:styleId="ListNumber4">
    <w:name w:val="List Number 4"/>
    <w:basedOn w:val="List4"/>
    <w:rsid w:val="007910C6"/>
    <w:pPr>
      <w:numPr>
        <w:numId w:val="7"/>
      </w:numPr>
    </w:pPr>
  </w:style>
  <w:style w:type="paragraph" w:styleId="ListNumber5">
    <w:name w:val="List Number 5"/>
    <w:basedOn w:val="List5"/>
    <w:rsid w:val="007910C6"/>
    <w:pPr>
      <w:numPr>
        <w:numId w:val="8"/>
      </w:numPr>
    </w:pPr>
  </w:style>
  <w:style w:type="paragraph" w:styleId="BlockText">
    <w:name w:val="Block Text"/>
    <w:basedOn w:val="Normal"/>
    <w:rsid w:val="007910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10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10C6"/>
    <w:rPr>
      <w:sz w:val="16"/>
      <w:vertAlign w:val="superscript"/>
    </w:rPr>
  </w:style>
  <w:style w:type="character" w:customStyle="1" w:styleId="Symbols">
    <w:name w:val="Symbols"/>
    <w:basedOn w:val="DefaultParagraphFont"/>
    <w:rsid w:val="007910C6"/>
    <w:rPr>
      <w:rFonts w:ascii="Symbol" w:hAnsi="Symbol"/>
    </w:rPr>
  </w:style>
  <w:style w:type="character" w:customStyle="1" w:styleId="MenuOptions">
    <w:name w:val="Menu Options"/>
    <w:basedOn w:val="DefaultParagraphFont"/>
    <w:rsid w:val="007910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10C6"/>
    <w:rPr>
      <w:b/>
    </w:rPr>
  </w:style>
  <w:style w:type="character" w:customStyle="1" w:styleId="Underlined">
    <w:name w:val="Underlined"/>
    <w:basedOn w:val="DefaultParagraphFont"/>
    <w:rsid w:val="007910C6"/>
    <w:rPr>
      <w:u w:val="single"/>
    </w:rPr>
  </w:style>
  <w:style w:type="paragraph" w:customStyle="1" w:styleId="TableBodyTextRight">
    <w:name w:val="Table Body Text Right"/>
    <w:basedOn w:val="TableBodyText"/>
    <w:rsid w:val="007910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10C6"/>
    <w:rPr>
      <w:sz w:val="18"/>
    </w:rPr>
  </w:style>
  <w:style w:type="paragraph" w:customStyle="1" w:styleId="BodySmallRight">
    <w:name w:val="Body Small Right"/>
    <w:basedOn w:val="BodyTextRight"/>
    <w:rsid w:val="007910C6"/>
    <w:rPr>
      <w:sz w:val="18"/>
      <w:szCs w:val="18"/>
    </w:rPr>
  </w:style>
  <w:style w:type="paragraph" w:customStyle="1" w:styleId="MarginEdition">
    <w:name w:val="Margin Edition"/>
    <w:basedOn w:val="MarginNote"/>
    <w:rsid w:val="007910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10C6"/>
    <w:rPr>
      <w:sz w:val="2"/>
      <w:szCs w:val="2"/>
    </w:rPr>
  </w:style>
  <w:style w:type="character" w:customStyle="1" w:styleId="Small">
    <w:name w:val="Small"/>
    <w:basedOn w:val="DefaultParagraphFont"/>
    <w:rsid w:val="007910C6"/>
    <w:rPr>
      <w:sz w:val="16"/>
    </w:rPr>
  </w:style>
  <w:style w:type="paragraph" w:customStyle="1" w:styleId="WideTable">
    <w:name w:val="Wide Table"/>
    <w:basedOn w:val="Normal"/>
    <w:rsid w:val="007910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10C6"/>
  </w:style>
  <w:style w:type="paragraph" w:styleId="Quote">
    <w:name w:val="Quote"/>
    <w:basedOn w:val="Heading1"/>
    <w:link w:val="QuoteChar"/>
    <w:qFormat/>
    <w:rsid w:val="007910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10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10C6"/>
    <w:pPr>
      <w:pageBreakBefore/>
    </w:pPr>
  </w:style>
  <w:style w:type="paragraph" w:customStyle="1" w:styleId="Border">
    <w:name w:val="Border"/>
    <w:basedOn w:val="Normal"/>
    <w:qFormat/>
    <w:rsid w:val="007910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10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10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10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10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10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10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10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10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10C6"/>
    <w:rPr>
      <w:u w:val="single"/>
    </w:rPr>
  </w:style>
  <w:style w:type="character" w:customStyle="1" w:styleId="BoldandItalics">
    <w:name w:val="Bold and Italics"/>
    <w:qFormat/>
    <w:rsid w:val="007910C6"/>
    <w:rPr>
      <w:b/>
      <w:i/>
      <w:u w:val="none"/>
    </w:rPr>
  </w:style>
  <w:style w:type="paragraph" w:styleId="BalloonText">
    <w:name w:val="Balloon Text"/>
    <w:basedOn w:val="Normal"/>
    <w:link w:val="BalloonTextChar"/>
    <w:rsid w:val="007910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10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10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10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10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10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10C6"/>
    <w:pPr>
      <w:spacing w:before="0" w:after="0"/>
    </w:pPr>
  </w:style>
  <w:style w:type="paragraph" w:customStyle="1" w:styleId="BodyTextBold">
    <w:name w:val="Body Text Bold"/>
    <w:basedOn w:val="BodyText"/>
    <w:qFormat/>
    <w:rsid w:val="007910C6"/>
    <w:rPr>
      <w:b/>
    </w:rPr>
  </w:style>
  <w:style w:type="character" w:styleId="Hyperlink">
    <w:name w:val="Hyperlink"/>
    <w:basedOn w:val="DefaultParagraphFont"/>
    <w:uiPriority w:val="99"/>
    <w:unhideWhenUsed/>
    <w:rsid w:val="00130E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473</Words>
  <Characters>3124</Characters>
  <Application>Microsoft Office Word</Application>
  <DocSecurity>0</DocSecurity>
  <Lines>86</Lines>
  <Paragraphs>71</Paragraphs>
  <ScaleCrop>false</ScaleCrop>
  <Company>Author-it Software Corporation Ltd.</Company>
  <LinksUpToDate>false</LinksUpToDate>
  <CharactersWithSpaces>3526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CPCCCM2007 Use explosive power tools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2024-12-24T01:26:00Z</dcterms:created>
  <dcterms:modified xsi:type="dcterms:W3CDTF">2024-12-24T01:26:00Z</dcterms:modified>
</cp:coreProperties>
</file>