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0FC" w:rsidP="00220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CPCCCM2002 Carry out hand excavation</w:t>
      </w:r>
      <w:r>
        <w:fldChar w:fldCharType="end"/>
      </w:r>
    </w:p>
    <w:p w:rsidR="002200FC" w:rsidP="002200FC">
      <w:pPr>
        <w:pStyle w:val="Version"/>
        <w:sectPr w:rsidSect="00764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4D80" w:rsidP="00764D80">
      <w:pPr>
        <w:pStyle w:val="SuperHeading"/>
      </w:pPr>
      <w:r w:rsidRPr="00764D80">
        <w:t>CPCCCM2002 Carry out hand excavation</w:t>
      </w:r>
    </w:p>
    <w:p w:rsidR="00000000" w:rsidRPr="00764D80" w:rsidP="00764D80">
      <w:pPr>
        <w:pStyle w:val="Heading1"/>
      </w:pPr>
      <w:bookmarkStart w:id="1" w:name="O_1295282"/>
      <w:bookmarkEnd w:id="1"/>
      <w:r w:rsidRPr="00764D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Updated reference to general construction induction training program.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D80" w:rsidP="00764D80">
            <w:pPr>
              <w:pStyle w:val="BodyText"/>
            </w:pPr>
            <w:r w:rsidRPr="00764D80">
              <w:t>This version first released with CPC Construction, Plumbing and Services Training Package Release 5.0.</w:t>
            </w:r>
          </w:p>
          <w:p w:rsidR="00000000" w:rsidRPr="00764D80" w:rsidP="00764D80">
            <w:pPr>
              <w:pStyle w:val="BodyText"/>
            </w:pPr>
            <w:r w:rsidRPr="00764D80">
              <w:t xml:space="preserve">Supersedes and equivalent to CPCCCM2002A </w:t>
            </w:r>
            <w:r w:rsidRPr="00764D80">
              <w:t>Carry out excavation.  Updated to meet the Standards for Training Packages 2012.</w:t>
            </w:r>
          </w:p>
        </w:tc>
      </w:tr>
    </w:tbl>
    <w:p w:rsidR="00000000" w:rsidRPr="00764D80" w:rsidP="00764D80">
      <w:pPr>
        <w:pStyle w:val="BodyText"/>
      </w:pPr>
    </w:p>
    <w:p w:rsidR="00000000" w:rsidRPr="00764D80" w:rsidP="00764D80">
      <w:pPr>
        <w:pStyle w:val="AllowPageBreak"/>
      </w:pPr>
    </w:p>
    <w:p w:rsidR="00000000" w:rsidRPr="00764D80" w:rsidP="00764D80">
      <w:pPr>
        <w:pStyle w:val="Heading1"/>
      </w:pPr>
      <w:bookmarkStart w:id="2" w:name="O_1295281"/>
      <w:bookmarkEnd w:id="2"/>
      <w:r w:rsidRPr="00764D80">
        <w:t>Application</w:t>
      </w:r>
    </w:p>
    <w:p w:rsidR="00000000" w:rsidRPr="00764D80" w:rsidP="002200FC">
      <w:pPr>
        <w:pStyle w:val="BodyText"/>
      </w:pPr>
      <w:r w:rsidRPr="00764D80">
        <w:t>This unit of competency specifies the skills and knowledge required to undertake hand excavation tasks to form excavations for footings and th</w:t>
      </w:r>
      <w:r w:rsidRPr="00764D80">
        <w:t xml:space="preserve">e provision of services. </w:t>
      </w:r>
    </w:p>
    <w:p w:rsidR="00000000" w:rsidRPr="00764D80" w:rsidP="002200FC">
      <w:pPr>
        <w:pStyle w:val="BodyText"/>
      </w:pPr>
      <w:r w:rsidRPr="00764D80">
        <w:t>The unit is suitable for those with basic skills and knowledge undertaking routine work tasks under the direction of more experienced workers.</w:t>
      </w:r>
    </w:p>
    <w:p w:rsidR="00000000" w:rsidRPr="00764D80" w:rsidP="002200FC">
      <w:pPr>
        <w:pStyle w:val="BodyText"/>
      </w:pPr>
      <w:r w:rsidRPr="00764D80">
        <w:t>Completion of the general construction induction training program specified by the mode</w:t>
      </w:r>
      <w:r w:rsidRPr="00764D80">
        <w:t xml:space="preserve">l Code of Practice for Construction Work is required for any person who is to carry out construction work.  Achievement of unit </w:t>
      </w:r>
      <w:r w:rsidRPr="00764D80">
        <w:rPr>
          <w:rStyle w:val="Emphasis"/>
        </w:rPr>
        <w:t>CPCWHS1001</w:t>
      </w:r>
      <w:r w:rsidRPr="00764D80">
        <w:t xml:space="preserve"> </w:t>
      </w:r>
      <w:r w:rsidRPr="00764D80">
        <w:rPr>
          <w:rStyle w:val="Emphasis"/>
        </w:rPr>
        <w:t xml:space="preserve">Prepare to work safely in the construction industry </w:t>
      </w:r>
      <w:r w:rsidRPr="00764D80">
        <w:t>meets this requirement.</w:t>
      </w:r>
    </w:p>
    <w:p w:rsidR="00000000" w:rsidRPr="00764D80" w:rsidP="002200FC">
      <w:pPr>
        <w:pStyle w:val="BodyText"/>
      </w:pPr>
      <w:r w:rsidRPr="00764D80">
        <w:t>No licensing, legislative or certificatio</w:t>
      </w:r>
      <w:r w:rsidRPr="00764D80">
        <w:t>n requirements apply to this unit at the time of publication.</w:t>
      </w:r>
    </w:p>
    <w:p w:rsidR="00000000" w:rsidRPr="00764D80" w:rsidP="00764D80">
      <w:pPr>
        <w:pStyle w:val="Heading1"/>
      </w:pPr>
      <w:bookmarkStart w:id="3" w:name="O_1295280"/>
      <w:bookmarkEnd w:id="3"/>
      <w:r w:rsidRPr="00764D80">
        <w:t>Pre-requisite Unit</w:t>
      </w:r>
    </w:p>
    <w:p w:rsidR="00000000" w:rsidRPr="00764D80" w:rsidP="002200FC">
      <w:pPr>
        <w:pStyle w:val="BodyText"/>
      </w:pPr>
      <w:r w:rsidRPr="00764D80">
        <w:t xml:space="preserve">CPCCWHS2001 Apply WHS requirements, policies and procedures in the construction industry. </w:t>
      </w:r>
    </w:p>
    <w:p w:rsidR="00000000" w:rsidRPr="00764D80" w:rsidP="00764D80">
      <w:pPr>
        <w:pStyle w:val="Heading1"/>
      </w:pPr>
      <w:bookmarkStart w:id="4" w:name="O_1295279"/>
      <w:bookmarkEnd w:id="4"/>
      <w:r w:rsidRPr="00764D80">
        <w:t>Unit Sector</w:t>
      </w:r>
    </w:p>
    <w:p w:rsidR="00000000" w:rsidRPr="00764D80" w:rsidP="002200FC">
      <w:pPr>
        <w:pStyle w:val="BodyText"/>
      </w:pPr>
      <w:r w:rsidRPr="00764D80">
        <w:t>Common</w:t>
      </w:r>
    </w:p>
    <w:p w:rsidR="00000000" w:rsidRPr="00764D80" w:rsidP="00764D80">
      <w:pPr>
        <w:pStyle w:val="Heading1"/>
      </w:pPr>
      <w:bookmarkStart w:id="5" w:name="O_1295278"/>
      <w:bookmarkEnd w:id="5"/>
      <w:r w:rsidRPr="00764D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Performance criteria describe what needs to be done to demonstrate achievement of the element.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Plan and prepare for hand excavation.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Read and interpret work instructions a</w:t>
            </w:r>
            <w:r w:rsidRPr="00764D80">
              <w:t>nd plan sequence of work.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 xml:space="preserve">Plan all work to comply with laws and regulations, the National Construction Code (NCC), Australian Standards, work health and safety (WHS) and environmental </w:t>
            </w:r>
            <w:r w:rsidRPr="00764D80">
              <w:t>requirements, workplace requirements, drawings and specifications.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Select and use personal protective equipment (PPE) for each part of the task.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Select tools and equipment, check for serviceability and report any faults.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Prepare excavation site and erect safety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Inspect work site to locate above ground services and assess hazards and determine risk controls.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Loc</w:t>
            </w:r>
            <w:r w:rsidRPr="00764D80">
              <w:t>ate service markers or taped areas to ensure underground services are avoided and free from interference.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Establish line and depth using site pegs/profiles to mark excavation limits.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Establish required signage and barricades and other risk co</w:t>
            </w:r>
            <w:r w:rsidRPr="00764D80">
              <w:t>ntrols.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Establish temporary drainage system to divert surface and sub-surface water from excavation.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Dig excavations.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Dig excavations with hand tools to route, line and depth, following procedures to minimise risk to self and others.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Install basic trench/excavation support.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Use hand tools to remove loose material from excavation.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Check and store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Clean up, meeting all legislative and workplace requirements for safety, waste disposal and materials handling.</w:t>
            </w:r>
          </w:p>
        </w:tc>
      </w:tr>
      <w:tr w:rsidTr="0076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D80">
            <w:pPr>
              <w:pStyle w:val="BodyText"/>
              <w:rPr>
                <w:lang w:val="en-NZ"/>
              </w:rPr>
            </w:pPr>
            <w:r w:rsidRPr="00764D8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D80" w:rsidP="00764D80">
            <w:pPr>
              <w:pStyle w:val="BodyText"/>
            </w:pPr>
            <w:r w:rsidRPr="00764D80">
              <w:t>Check, maintain and store tools and equipment and report any faults.</w:t>
            </w:r>
          </w:p>
        </w:tc>
      </w:tr>
    </w:tbl>
    <w:p w:rsidR="00000000" w:rsidRPr="00764D80" w:rsidP="00764D80">
      <w:pPr>
        <w:pStyle w:val="BodyText"/>
      </w:pPr>
    </w:p>
    <w:p w:rsidR="00000000" w:rsidRPr="00764D80" w:rsidP="00764D80">
      <w:pPr>
        <w:pStyle w:val="AllowPageBreak"/>
      </w:pPr>
    </w:p>
    <w:p w:rsidR="00000000" w:rsidRPr="00764D80" w:rsidP="00764D80">
      <w:pPr>
        <w:pStyle w:val="Heading1"/>
      </w:pPr>
      <w:bookmarkStart w:id="6" w:name="O_1295277"/>
      <w:bookmarkEnd w:id="6"/>
      <w:r w:rsidRPr="00764D80">
        <w:t>Foundation Skills</w:t>
      </w:r>
    </w:p>
    <w:p w:rsidR="00000000" w:rsidRPr="00764D80" w:rsidP="002200FC">
      <w:pPr>
        <w:pStyle w:val="BodyText"/>
      </w:pPr>
      <w:r w:rsidRPr="00764D80">
        <w:t xml:space="preserve">Foundation skills essential to performance are explicit in the performance criteria of this unit of competency. </w:t>
      </w:r>
    </w:p>
    <w:p w:rsidR="00000000" w:rsidRPr="00764D80" w:rsidP="00764D80">
      <w:pPr>
        <w:pStyle w:val="Heading1"/>
      </w:pPr>
      <w:bookmarkStart w:id="7" w:name="O_1295276"/>
      <w:bookmarkEnd w:id="7"/>
      <w:r w:rsidRPr="00764D80">
        <w:t>Unit Mapping Information</w:t>
      </w:r>
    </w:p>
    <w:p w:rsidR="00000000" w:rsidRPr="00764D80" w:rsidP="002200FC">
      <w:pPr>
        <w:pStyle w:val="BodyText"/>
      </w:pPr>
      <w:r w:rsidRPr="00764D80">
        <w:t>Supersedes and equivalent to CPCCCM2002A Carry out excavation.</w:t>
      </w:r>
    </w:p>
    <w:p w:rsidR="00000000" w:rsidRPr="00764D80" w:rsidP="00764D80">
      <w:pPr>
        <w:pStyle w:val="Heading1"/>
      </w:pPr>
      <w:bookmarkStart w:id="8" w:name="O_1295283"/>
      <w:bookmarkEnd w:id="8"/>
      <w:r w:rsidRPr="00764D80">
        <w:t>Links</w:t>
      </w:r>
    </w:p>
    <w:p w:rsidR="00000000" w:rsidRPr="00764D80" w:rsidP="002200FC">
      <w:pPr>
        <w:pStyle w:val="BodyText"/>
      </w:pPr>
      <w:r w:rsidRPr="00764D80">
        <w:t>Companion v</w:t>
      </w:r>
      <w:r w:rsidRPr="00764D80">
        <w:t xml:space="preserve">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61F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64D80" w:rsidP="00764D80"/>
    <w:sectPr w:rsidSect="00764D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D80" w:rsidRPr="002200FC" w:rsidP="00220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FC" w:rsidP="00764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0FC" w:rsidP="00764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200FC" w:rsidP="00764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D80" w:rsidRPr="002200FC" w:rsidP="00220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FC" w:rsidRPr="002D2AF8" w:rsidP="00764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CPCCCM2002 Carry out hand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200FC" w:rsidP="00764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D80"/>
  </w:style>
  <w:style w:type="character" w:customStyle="1" w:styleId="Heading1Char">
    <w:name w:val="Heading 1 Char"/>
    <w:basedOn w:val="DefaultParagraphFont"/>
    <w:link w:val="Heading1"/>
    <w:rsid w:val="00764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D8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64D80"/>
    <w:rPr>
      <w:i/>
    </w:rPr>
  </w:style>
  <w:style w:type="paragraph" w:customStyle="1" w:styleId="SuperHeading">
    <w:name w:val="SuperHeading"/>
    <w:basedOn w:val="Normal"/>
    <w:rsid w:val="00764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D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4D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4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D80"/>
    <w:rPr>
      <w:b/>
      <w:spacing w:val="0"/>
    </w:rPr>
  </w:style>
  <w:style w:type="paragraph" w:customStyle="1" w:styleId="SuperTitle">
    <w:name w:val="SuperTitle"/>
    <w:basedOn w:val="Title"/>
    <w:rsid w:val="00764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D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D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D80"/>
  </w:style>
  <w:style w:type="paragraph" w:styleId="TableofFigures">
    <w:name w:val="table of figures"/>
    <w:basedOn w:val="Normal"/>
    <w:next w:val="Normal"/>
    <w:semiHidden/>
    <w:rsid w:val="00764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D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4D80"/>
    <w:rPr>
      <w:rFonts w:ascii="Wingdings" w:hAnsi="Wingdings"/>
    </w:rPr>
  </w:style>
  <w:style w:type="paragraph" w:customStyle="1" w:styleId="TableHeading">
    <w:name w:val="Table Heading"/>
    <w:basedOn w:val="HeadingBase"/>
    <w:rsid w:val="00764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D80"/>
    <w:rPr>
      <w:color w:val="0033CC"/>
      <w:u w:val="none"/>
    </w:rPr>
  </w:style>
  <w:style w:type="paragraph" w:customStyle="1" w:styleId="BodyTextRight">
    <w:name w:val="Body Text Right"/>
    <w:basedOn w:val="BodyText"/>
    <w:rsid w:val="00764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D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D80"/>
    <w:rPr>
      <w:sz w:val="32"/>
    </w:rPr>
  </w:style>
  <w:style w:type="paragraph" w:customStyle="1" w:styleId="HeadingProcedure">
    <w:name w:val="Heading Procedure"/>
    <w:basedOn w:val="HeadingBase"/>
    <w:next w:val="Normal"/>
    <w:rsid w:val="00764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D80"/>
    <w:pPr>
      <w:spacing w:before="60" w:after="60"/>
    </w:pPr>
  </w:style>
  <w:style w:type="paragraph" w:styleId="ListContinue">
    <w:name w:val="List Continue"/>
    <w:basedOn w:val="List"/>
    <w:rsid w:val="00764D80"/>
    <w:pPr>
      <w:ind w:firstLine="0"/>
    </w:pPr>
  </w:style>
  <w:style w:type="paragraph" w:customStyle="1" w:styleId="ListNote">
    <w:name w:val="List Note"/>
    <w:basedOn w:val="List"/>
    <w:rsid w:val="00764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D80"/>
    <w:rPr>
      <w:rFonts w:ascii="Courier New" w:hAnsi="Courier New"/>
    </w:rPr>
  </w:style>
  <w:style w:type="paragraph" w:customStyle="1" w:styleId="NoteBullet">
    <w:name w:val="Note Bullet"/>
    <w:basedOn w:val="Note"/>
    <w:rsid w:val="00764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D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4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D80"/>
    <w:rPr>
      <w:b/>
      <w:smallCaps/>
    </w:rPr>
  </w:style>
  <w:style w:type="paragraph" w:customStyle="1" w:styleId="TableListNumber">
    <w:name w:val="Table List Number"/>
    <w:basedOn w:val="ListNumber"/>
    <w:rsid w:val="00764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D80"/>
    <w:pPr>
      <w:numPr>
        <w:numId w:val="7"/>
      </w:numPr>
    </w:pPr>
  </w:style>
  <w:style w:type="paragraph" w:customStyle="1" w:styleId="ListAlpha2">
    <w:name w:val="List Alpha 2"/>
    <w:basedOn w:val="List2"/>
    <w:rsid w:val="00764D80"/>
    <w:pPr>
      <w:numPr>
        <w:numId w:val="6"/>
      </w:numPr>
    </w:pPr>
  </w:style>
  <w:style w:type="paragraph" w:styleId="List2">
    <w:name w:val="List 2"/>
    <w:basedOn w:val="BodyText"/>
    <w:rsid w:val="00764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D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D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4D80"/>
    <w:pPr>
      <w:numPr>
        <w:numId w:val="2"/>
      </w:numPr>
    </w:pPr>
  </w:style>
  <w:style w:type="paragraph" w:styleId="ListContinue2">
    <w:name w:val="List Continue 2"/>
    <w:basedOn w:val="List2"/>
    <w:rsid w:val="00764D80"/>
    <w:pPr>
      <w:ind w:firstLine="0"/>
    </w:pPr>
  </w:style>
  <w:style w:type="paragraph" w:styleId="ListContinue3">
    <w:name w:val="List Continue 3"/>
    <w:basedOn w:val="List3"/>
    <w:rsid w:val="00764D80"/>
    <w:pPr>
      <w:ind w:left="1021" w:firstLine="0"/>
    </w:pPr>
  </w:style>
  <w:style w:type="paragraph" w:styleId="ListContinue4">
    <w:name w:val="List Continue 4"/>
    <w:basedOn w:val="List4"/>
    <w:rsid w:val="00764D80"/>
    <w:pPr>
      <w:ind w:firstLine="0"/>
    </w:pPr>
  </w:style>
  <w:style w:type="paragraph" w:styleId="ListContinue5">
    <w:name w:val="List Continue 5"/>
    <w:basedOn w:val="List5"/>
    <w:rsid w:val="00764D80"/>
    <w:pPr>
      <w:ind w:firstLine="0"/>
    </w:pPr>
  </w:style>
  <w:style w:type="paragraph" w:styleId="ListNumber3">
    <w:name w:val="List Number 3"/>
    <w:basedOn w:val="List3"/>
    <w:rsid w:val="00764D80"/>
    <w:pPr>
      <w:numPr>
        <w:numId w:val="3"/>
      </w:numPr>
    </w:pPr>
  </w:style>
  <w:style w:type="paragraph" w:styleId="ListNumber4">
    <w:name w:val="List Number 4"/>
    <w:basedOn w:val="List4"/>
    <w:rsid w:val="00764D80"/>
    <w:pPr>
      <w:numPr>
        <w:numId w:val="4"/>
      </w:numPr>
    </w:pPr>
  </w:style>
  <w:style w:type="paragraph" w:styleId="ListNumber5">
    <w:name w:val="List Number 5"/>
    <w:basedOn w:val="List5"/>
    <w:rsid w:val="00764D80"/>
    <w:pPr>
      <w:numPr>
        <w:numId w:val="5"/>
      </w:numPr>
    </w:pPr>
  </w:style>
  <w:style w:type="paragraph" w:styleId="BlockText">
    <w:name w:val="Block Text"/>
    <w:basedOn w:val="Normal"/>
    <w:rsid w:val="00764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D80"/>
    <w:rPr>
      <w:sz w:val="16"/>
      <w:vertAlign w:val="superscript"/>
    </w:rPr>
  </w:style>
  <w:style w:type="character" w:customStyle="1" w:styleId="Symbols">
    <w:name w:val="Symbols"/>
    <w:basedOn w:val="DefaultParagraphFont"/>
    <w:rsid w:val="00764D80"/>
    <w:rPr>
      <w:rFonts w:ascii="Symbol" w:hAnsi="Symbol"/>
    </w:rPr>
  </w:style>
  <w:style w:type="character" w:customStyle="1" w:styleId="MenuOptions">
    <w:name w:val="Menu Options"/>
    <w:basedOn w:val="DefaultParagraphFont"/>
    <w:rsid w:val="00764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D80"/>
    <w:rPr>
      <w:b/>
    </w:rPr>
  </w:style>
  <w:style w:type="character" w:customStyle="1" w:styleId="Underlined">
    <w:name w:val="Underlined"/>
    <w:basedOn w:val="DefaultParagraphFont"/>
    <w:rsid w:val="00764D80"/>
    <w:rPr>
      <w:u w:val="single"/>
    </w:rPr>
  </w:style>
  <w:style w:type="paragraph" w:customStyle="1" w:styleId="TableBodyTextRight">
    <w:name w:val="Table Body Text Right"/>
    <w:basedOn w:val="TableBodyText"/>
    <w:rsid w:val="00764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D80"/>
    <w:rPr>
      <w:sz w:val="18"/>
    </w:rPr>
  </w:style>
  <w:style w:type="paragraph" w:customStyle="1" w:styleId="BodySmallRight">
    <w:name w:val="Body Small Right"/>
    <w:basedOn w:val="BodyTextRight"/>
    <w:rsid w:val="00764D80"/>
    <w:rPr>
      <w:sz w:val="18"/>
      <w:szCs w:val="18"/>
    </w:rPr>
  </w:style>
  <w:style w:type="paragraph" w:customStyle="1" w:styleId="MarginEdition">
    <w:name w:val="Margin Edition"/>
    <w:basedOn w:val="MarginNote"/>
    <w:rsid w:val="00764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D80"/>
    <w:rPr>
      <w:sz w:val="2"/>
      <w:szCs w:val="2"/>
    </w:rPr>
  </w:style>
  <w:style w:type="character" w:customStyle="1" w:styleId="Small">
    <w:name w:val="Small"/>
    <w:basedOn w:val="DefaultParagraphFont"/>
    <w:rsid w:val="00764D80"/>
    <w:rPr>
      <w:sz w:val="16"/>
    </w:rPr>
  </w:style>
  <w:style w:type="paragraph" w:customStyle="1" w:styleId="WideTable">
    <w:name w:val="Wide Table"/>
    <w:basedOn w:val="Normal"/>
    <w:rsid w:val="00764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D80"/>
  </w:style>
  <w:style w:type="paragraph" w:styleId="Quote">
    <w:name w:val="Quote"/>
    <w:basedOn w:val="Heading1"/>
    <w:link w:val="QuoteChar"/>
    <w:qFormat/>
    <w:rsid w:val="00764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D80"/>
    <w:pPr>
      <w:pageBreakBefore/>
    </w:pPr>
  </w:style>
  <w:style w:type="paragraph" w:customStyle="1" w:styleId="Border">
    <w:name w:val="Border"/>
    <w:basedOn w:val="Normal"/>
    <w:qFormat/>
    <w:rsid w:val="00764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D80"/>
    <w:rPr>
      <w:u w:val="single"/>
    </w:rPr>
  </w:style>
  <w:style w:type="character" w:customStyle="1" w:styleId="BoldandItalics">
    <w:name w:val="Bold and Italics"/>
    <w:qFormat/>
    <w:rsid w:val="00764D80"/>
    <w:rPr>
      <w:b/>
      <w:i/>
      <w:u w:val="none"/>
    </w:rPr>
  </w:style>
  <w:style w:type="paragraph" w:styleId="BalloonText">
    <w:name w:val="Balloon Text"/>
    <w:basedOn w:val="Normal"/>
    <w:link w:val="BalloonTextChar"/>
    <w:rsid w:val="00764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D80"/>
    <w:pPr>
      <w:spacing w:before="0" w:after="0"/>
    </w:pPr>
  </w:style>
  <w:style w:type="paragraph" w:customStyle="1" w:styleId="BodyTextBold">
    <w:name w:val="Body Text Bold"/>
    <w:basedOn w:val="BodyText"/>
    <w:qFormat/>
    <w:rsid w:val="00764D80"/>
    <w:rPr>
      <w:b/>
    </w:rPr>
  </w:style>
  <w:style w:type="character" w:styleId="Hyperlink">
    <w:name w:val="Hyperlink"/>
    <w:basedOn w:val="DefaultParagraphFont"/>
    <w:uiPriority w:val="99"/>
    <w:unhideWhenUsed/>
    <w:rsid w:val="00220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3045</Characters>
  <Application>Microsoft Office Word</Application>
  <DocSecurity>0</DocSecurity>
  <Lines>145</Lines>
  <Paragraphs>77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CPCCCM2002 Carry out hand excavation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