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9B8" w:rsidP="00F11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CPCCCM2002 Carry out hand excavation</w:t>
      </w:r>
      <w:r>
        <w:fldChar w:fldCharType="end"/>
      </w:r>
    </w:p>
    <w:p w:rsidR="00F119B8" w:rsidP="00F119B8">
      <w:pPr>
        <w:pStyle w:val="Version"/>
        <w:sectPr w:rsidSect="00F43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0F8" w:rsidP="00F430F8">
      <w:pPr>
        <w:pStyle w:val="SuperHeading"/>
      </w:pPr>
      <w:r w:rsidRPr="00F430F8">
        <w:t>CPCCCM2002 Carry out hand excavation</w:t>
      </w:r>
    </w:p>
    <w:p w:rsidR="00000000" w:rsidRPr="00F430F8" w:rsidP="00F430F8">
      <w:pPr>
        <w:pStyle w:val="Heading1"/>
      </w:pPr>
      <w:bookmarkStart w:id="1" w:name="O_1295282"/>
      <w:bookmarkEnd w:id="1"/>
      <w:r w:rsidRPr="00F43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Updated reference to general construction induction training program.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F8" w:rsidP="00F430F8">
            <w:pPr>
              <w:pStyle w:val="BodyText"/>
            </w:pPr>
            <w:r w:rsidRPr="00F430F8">
              <w:t>This version first released with CPC Construction, Plumbing and Services Training Package Release 5.0.</w:t>
            </w:r>
          </w:p>
          <w:p w:rsidR="00000000" w:rsidRPr="00F430F8" w:rsidP="00F430F8">
            <w:pPr>
              <w:pStyle w:val="BodyText"/>
            </w:pPr>
            <w:r w:rsidRPr="00F430F8">
              <w:t xml:space="preserve">Supersedes and equivalent to CPCCCM2002A </w:t>
            </w:r>
            <w:r w:rsidRPr="00F430F8">
              <w:t>Carry out excavation.  Updated to meet the Standards for Training Packages 2012.</w:t>
            </w:r>
          </w:p>
        </w:tc>
      </w:tr>
    </w:tbl>
    <w:p w:rsidR="00000000" w:rsidRPr="00F430F8" w:rsidP="00F430F8">
      <w:pPr>
        <w:pStyle w:val="BodyText"/>
      </w:pPr>
    </w:p>
    <w:p w:rsidR="00000000" w:rsidRPr="00F430F8" w:rsidP="00F430F8">
      <w:pPr>
        <w:pStyle w:val="AllowPageBreak"/>
      </w:pPr>
    </w:p>
    <w:p w:rsidR="00000000" w:rsidRPr="00F430F8" w:rsidP="00F430F8">
      <w:pPr>
        <w:pStyle w:val="Heading1"/>
      </w:pPr>
      <w:bookmarkStart w:id="2" w:name="O_1295281"/>
      <w:bookmarkEnd w:id="2"/>
      <w:r w:rsidRPr="00F430F8">
        <w:t>Application</w:t>
      </w:r>
    </w:p>
    <w:p w:rsidR="00000000" w:rsidRPr="00F430F8" w:rsidP="00F119B8">
      <w:pPr>
        <w:pStyle w:val="BodyText"/>
      </w:pPr>
      <w:r w:rsidRPr="00F430F8">
        <w:t>This unit of competency specifies the skills and knowledge required to undertake hand excavation tasks to form excavations for footings and th</w:t>
      </w:r>
      <w:r w:rsidRPr="00F430F8">
        <w:t xml:space="preserve">e provision of services. </w:t>
      </w:r>
    </w:p>
    <w:p w:rsidR="00000000" w:rsidRPr="00F430F8" w:rsidP="00F119B8">
      <w:pPr>
        <w:pStyle w:val="BodyText"/>
      </w:pPr>
      <w:r w:rsidRPr="00F430F8">
        <w:t>The unit is suitable for those with basic skills and knowledge undertaking routine work tasks under the direction of more experienced workers.</w:t>
      </w:r>
    </w:p>
    <w:p w:rsidR="00000000" w:rsidRPr="00F430F8" w:rsidP="00F119B8">
      <w:pPr>
        <w:pStyle w:val="BodyText"/>
      </w:pPr>
      <w:r w:rsidRPr="00F430F8">
        <w:t>Completion of the general construction induction training program specified by the mode</w:t>
      </w:r>
      <w:r w:rsidRPr="00F430F8">
        <w:t xml:space="preserve">l Code of Practice for Construction Work is required for any person who is to carry out construction work.  Achievement of unit </w:t>
      </w:r>
      <w:r w:rsidRPr="00F430F8">
        <w:rPr>
          <w:rStyle w:val="Emphasis"/>
        </w:rPr>
        <w:t>CPCWHS1001</w:t>
      </w:r>
      <w:r w:rsidRPr="00F430F8">
        <w:t xml:space="preserve"> </w:t>
      </w:r>
      <w:r w:rsidRPr="00F430F8">
        <w:rPr>
          <w:rStyle w:val="Emphasis"/>
        </w:rPr>
        <w:t xml:space="preserve">Prepare to work safely in the construction industry </w:t>
      </w:r>
      <w:r w:rsidRPr="00F430F8">
        <w:t>meets this requirement.</w:t>
      </w:r>
    </w:p>
    <w:p w:rsidR="00000000" w:rsidRPr="00F430F8" w:rsidP="00F119B8">
      <w:pPr>
        <w:pStyle w:val="BodyText"/>
      </w:pPr>
      <w:r w:rsidRPr="00F430F8">
        <w:t>No licensing, legislative or certificatio</w:t>
      </w:r>
      <w:r w:rsidRPr="00F430F8">
        <w:t>n requirements apply to this unit at the time of publication.</w:t>
      </w:r>
    </w:p>
    <w:p w:rsidR="00000000" w:rsidRPr="00F430F8" w:rsidP="00F430F8">
      <w:pPr>
        <w:pStyle w:val="Heading1"/>
      </w:pPr>
      <w:bookmarkStart w:id="3" w:name="O_1295280"/>
      <w:bookmarkEnd w:id="3"/>
      <w:r w:rsidRPr="00F430F8">
        <w:t>Pre-requisite Unit</w:t>
      </w:r>
    </w:p>
    <w:p w:rsidR="00000000" w:rsidRPr="00F430F8" w:rsidP="00F119B8">
      <w:pPr>
        <w:pStyle w:val="BodyText"/>
      </w:pPr>
      <w:r w:rsidRPr="00F430F8">
        <w:t xml:space="preserve">CPCCWHS2001 Apply WHS requirements, policies and procedures in the construction industry. </w:t>
      </w:r>
    </w:p>
    <w:p w:rsidR="00000000" w:rsidRPr="00F430F8" w:rsidP="00F430F8">
      <w:pPr>
        <w:pStyle w:val="Heading1"/>
      </w:pPr>
      <w:bookmarkStart w:id="4" w:name="O_1295279"/>
      <w:bookmarkEnd w:id="4"/>
      <w:r w:rsidRPr="00F430F8">
        <w:t>Unit Sector</w:t>
      </w:r>
    </w:p>
    <w:p w:rsidR="00000000" w:rsidRPr="00F430F8" w:rsidP="00F119B8">
      <w:pPr>
        <w:pStyle w:val="BodyText"/>
      </w:pPr>
      <w:r w:rsidRPr="00F430F8">
        <w:t>Common</w:t>
      </w:r>
    </w:p>
    <w:p w:rsidR="00000000" w:rsidRPr="00F430F8" w:rsidP="00F430F8">
      <w:pPr>
        <w:pStyle w:val="Heading1"/>
      </w:pPr>
      <w:bookmarkStart w:id="5" w:name="O_1295278"/>
      <w:bookmarkEnd w:id="5"/>
      <w:r w:rsidRPr="00F430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Performance criteria describe what needs to be done to demonstrate achievement of the element.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Plan and prepare for hand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Read and interpret work instructions a</w:t>
            </w:r>
            <w:r w:rsidRPr="00F430F8">
              <w:t>nd plan sequence of work.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 xml:space="preserve">Plan all work to comply with laws and regulations, the National Construction Code (NCC), Australian Standards, work health and safety (WHS) and environmental </w:t>
            </w:r>
            <w:r w:rsidRPr="00F430F8">
              <w:t>requirements, workplace requirements, drawings and specifications.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Select and use personal protective equipment (PPE) for each part of the task.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Select tools and equipment, check for serviceability and report any faults.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Prepare excavation site and erect safety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Inspect work site to locate above ground services and assess hazards and determine risk controls.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Locate service markers or taped areas to ensure underground services are avoided and free from interference.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Establish line and depth using site pegs/profiles to mark excavation limits.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Establish required signage and barricades and other risk</w:t>
            </w:r>
            <w:r w:rsidRPr="00F430F8">
              <w:t xml:space="preserve"> controls.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Establish temporary drainage system to divert surface and sub-surface water from excavation.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Dig excavations.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Dig excavations with hand tools to route, line and depth, following procedures to minimise risk to self and others.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Install basic trench/excavation support.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Use hand tools to remove loose material from excavation.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Check and store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Clean up, meeting all legislative and workplace requirements for safety, waste disposal and materials handling.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F8" w:rsidP="00F430F8">
            <w:pPr>
              <w:pStyle w:val="BodyText"/>
            </w:pPr>
            <w:r w:rsidRPr="00F430F8">
              <w:t>Check, maintain and store tools and equipment and report any faults.</w:t>
            </w:r>
          </w:p>
        </w:tc>
      </w:tr>
    </w:tbl>
    <w:p w:rsidR="00000000" w:rsidRPr="00F430F8" w:rsidP="00F430F8">
      <w:pPr>
        <w:pStyle w:val="BodyText"/>
      </w:pPr>
    </w:p>
    <w:p w:rsidR="00000000" w:rsidRPr="00F430F8" w:rsidP="00F430F8">
      <w:pPr>
        <w:pStyle w:val="AllowPageBreak"/>
      </w:pPr>
    </w:p>
    <w:p w:rsidR="00000000" w:rsidRPr="00F430F8" w:rsidP="00F430F8">
      <w:pPr>
        <w:pStyle w:val="Heading1"/>
      </w:pPr>
      <w:bookmarkStart w:id="6" w:name="O_1295277"/>
      <w:bookmarkEnd w:id="6"/>
      <w:r w:rsidRPr="00F430F8">
        <w:t>Foundation Skills</w:t>
      </w:r>
    </w:p>
    <w:p w:rsidR="00000000" w:rsidRPr="00F430F8" w:rsidP="00F119B8">
      <w:pPr>
        <w:pStyle w:val="BodyText"/>
      </w:pPr>
      <w:r w:rsidRPr="00F430F8">
        <w:t xml:space="preserve">Foundation skills essential to performance are explicit in the performance criteria of this unit of competency. </w:t>
      </w:r>
    </w:p>
    <w:p w:rsidR="00000000" w:rsidRPr="00F430F8" w:rsidP="00F430F8">
      <w:pPr>
        <w:pStyle w:val="Heading1"/>
      </w:pPr>
      <w:bookmarkStart w:id="7" w:name="O_1295276"/>
      <w:bookmarkEnd w:id="7"/>
      <w:r w:rsidRPr="00F430F8">
        <w:t>Unit Mapping Information</w:t>
      </w:r>
    </w:p>
    <w:p w:rsidR="00000000" w:rsidRPr="00F430F8" w:rsidP="00F119B8">
      <w:pPr>
        <w:pStyle w:val="BodyText"/>
      </w:pPr>
      <w:r w:rsidRPr="00F430F8">
        <w:t>Supersedes and equivalent to CPCCCM2002A Carry out excavation.</w:t>
      </w:r>
    </w:p>
    <w:p w:rsidR="00000000" w:rsidRPr="00F430F8" w:rsidP="00F430F8">
      <w:pPr>
        <w:pStyle w:val="Heading1"/>
      </w:pPr>
      <w:bookmarkStart w:id="8" w:name="O_1295283"/>
      <w:bookmarkEnd w:id="8"/>
      <w:r w:rsidRPr="00F430F8">
        <w:t>Links</w:t>
      </w:r>
    </w:p>
    <w:p w:rsidR="00000000" w:rsidRPr="00F430F8" w:rsidP="00F119B8">
      <w:pPr>
        <w:pStyle w:val="BodyText"/>
      </w:pPr>
      <w:r w:rsidRPr="00F430F8">
        <w:t>Companion v</w:t>
      </w:r>
      <w:r w:rsidRPr="00F430F8">
        <w:t xml:space="preserve">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6A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30F8" w:rsidP="00F119B8">
      <w:pPr>
        <w:pStyle w:val="BodyText"/>
        <w:sectPr w:rsidSect="00F430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0F8" w:rsidP="00F430F8">
      <w:pPr>
        <w:pStyle w:val="SuperHeading"/>
      </w:pPr>
      <w:r w:rsidRPr="00F430F8">
        <w:t xml:space="preserve">Assessment Requirements for CPCCCM2002 Carry out hand </w:t>
      </w:r>
      <w:r w:rsidRPr="00F430F8">
        <w:t>excavation</w:t>
      </w:r>
    </w:p>
    <w:p w:rsidR="00000000" w:rsidRPr="00F430F8" w:rsidP="00F430F8">
      <w:pPr>
        <w:pStyle w:val="Heading1"/>
      </w:pPr>
      <w:bookmarkStart w:id="9" w:name="O_1295274"/>
      <w:bookmarkEnd w:id="9"/>
      <w:r w:rsidRPr="00F43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Updated reference to general construction induction training program.</w:t>
            </w:r>
          </w:p>
        </w:tc>
      </w:tr>
      <w:tr w:rsidTr="00F43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0F8">
            <w:pPr>
              <w:pStyle w:val="BodyText"/>
              <w:rPr>
                <w:lang w:val="en-NZ"/>
              </w:rPr>
            </w:pPr>
            <w:r w:rsidRPr="00F430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0F8" w:rsidP="00F430F8">
            <w:pPr>
              <w:pStyle w:val="BodyText"/>
            </w:pPr>
            <w:r w:rsidRPr="00F430F8">
              <w:t>This version first released with CPC Construction, Plumbing and Services Training Package Release 5.0.</w:t>
            </w:r>
          </w:p>
          <w:p w:rsidR="00000000" w:rsidRPr="00F430F8" w:rsidP="00F430F8">
            <w:pPr>
              <w:pStyle w:val="BodyText"/>
            </w:pPr>
            <w:r w:rsidRPr="00F430F8">
              <w:t>Supersedes and equivalent to CPCCCM2002A Carry out excavation.  Updated to meet the Standards for Training Packages 2012.</w:t>
            </w:r>
          </w:p>
        </w:tc>
      </w:tr>
    </w:tbl>
    <w:p w:rsidR="00000000" w:rsidRPr="00F430F8" w:rsidP="00F430F8">
      <w:pPr>
        <w:pStyle w:val="BodyText"/>
      </w:pPr>
    </w:p>
    <w:p w:rsidR="00000000" w:rsidRPr="00F430F8" w:rsidP="00F430F8">
      <w:pPr>
        <w:pStyle w:val="AllowPageBreak"/>
      </w:pPr>
    </w:p>
    <w:p w:rsidR="00000000" w:rsidRPr="00F430F8" w:rsidP="00F430F8">
      <w:pPr>
        <w:pStyle w:val="Heading1"/>
      </w:pPr>
      <w:bookmarkStart w:id="10" w:name="O_1295273"/>
      <w:bookmarkEnd w:id="10"/>
      <w:r w:rsidRPr="00F430F8">
        <w:t>Performance Evidence</w:t>
      </w:r>
    </w:p>
    <w:p w:rsidR="00000000" w:rsidRPr="00F430F8" w:rsidP="00F119B8">
      <w:pPr>
        <w:pStyle w:val="BodyText"/>
      </w:pPr>
      <w:r w:rsidRPr="00F430F8">
        <w:t>To demonstrate competency, a candidate must satisfy all the elements, performance criteria a</w:t>
      </w:r>
      <w:r w:rsidRPr="00F430F8">
        <w:t>nd foundation skills of this unit by excavating, by hand, a 3 metre trench with a right angle, .5 metres deep and .5 metres wide.</w:t>
      </w:r>
    </w:p>
    <w:p w:rsidR="00000000" w:rsidRPr="00F430F8" w:rsidP="00F119B8">
      <w:pPr>
        <w:pStyle w:val="BodyText"/>
      </w:pPr>
      <w:r w:rsidRPr="00F430F8">
        <w:t>All work must be performed to the standard required in the workplace and must comply with laws and regulations, the National C</w:t>
      </w:r>
      <w:r w:rsidRPr="00F430F8">
        <w:t>onstruction Code (NCC), Australian Standards, work health and safety (WHS) and environmental requirements, workplace requirements, drawings and specifications.</w:t>
      </w:r>
    </w:p>
    <w:p w:rsidR="00000000" w:rsidRPr="00F430F8" w:rsidP="00F430F8">
      <w:pPr>
        <w:pStyle w:val="Heading1"/>
      </w:pPr>
      <w:bookmarkStart w:id="11" w:name="O_1295272"/>
      <w:bookmarkEnd w:id="11"/>
      <w:r w:rsidRPr="00F430F8">
        <w:t>Knowledge Evidence</w:t>
      </w:r>
    </w:p>
    <w:p w:rsidR="00000000" w:rsidRPr="00F430F8" w:rsidP="00F119B8">
      <w:pPr>
        <w:pStyle w:val="BodyText"/>
      </w:pPr>
      <w:r w:rsidRPr="00F430F8">
        <w:t>To be competent in this unit, a candidate must demonstrate</w:t>
      </w:r>
      <w:r w:rsidRPr="00F430F8">
        <w:t xml:space="preserve"> knowledge of:</w:t>
      </w:r>
    </w:p>
    <w:p w:rsidR="00000000" w:rsidRPr="00F430F8" w:rsidP="00F430F8">
      <w:pPr>
        <w:pStyle w:val="ListBullet"/>
      </w:pPr>
      <w:r w:rsidRPr="00F430F8">
        <w:t>compliance requirements of the Commonwealth and state or territory legislation relevant to carrying out excavations</w:t>
      </w:r>
    </w:p>
    <w:p w:rsidR="00000000" w:rsidRPr="00F430F8" w:rsidP="00F430F8">
      <w:pPr>
        <w:pStyle w:val="ListBullet"/>
      </w:pPr>
      <w:r w:rsidRPr="00F430F8">
        <w:t>workplace quality policies and standards for carrying out excavations</w:t>
      </w:r>
    </w:p>
    <w:p w:rsidR="00000000" w:rsidRPr="00F430F8" w:rsidP="00F430F8">
      <w:pPr>
        <w:pStyle w:val="ListBullet"/>
      </w:pPr>
      <w:r w:rsidRPr="00F430F8">
        <w:t>safety requirements for carrying out excavations</w:t>
      </w:r>
    </w:p>
    <w:p w:rsidR="00000000" w:rsidRPr="00F430F8" w:rsidP="00F430F8">
      <w:pPr>
        <w:pStyle w:val="ListBullet"/>
      </w:pPr>
      <w:r w:rsidRPr="00F430F8">
        <w:t>environmental requirements for carrying out excavations</w:t>
      </w:r>
    </w:p>
    <w:p w:rsidR="00000000" w:rsidRPr="00F430F8" w:rsidP="00F430F8">
      <w:pPr>
        <w:pStyle w:val="ListBullet"/>
      </w:pPr>
      <w:r w:rsidRPr="00F430F8">
        <w:t>types and uses of hand tools and equipment required for carrying out excavations</w:t>
      </w:r>
    </w:p>
    <w:p w:rsidR="00000000" w:rsidRPr="00F430F8" w:rsidP="00F430F8">
      <w:pPr>
        <w:pStyle w:val="ListBullet"/>
      </w:pPr>
      <w:r w:rsidRPr="00F430F8">
        <w:t>locating services on construction sites</w:t>
      </w:r>
    </w:p>
    <w:p w:rsidR="00000000" w:rsidRPr="00F430F8" w:rsidP="00F430F8">
      <w:pPr>
        <w:pStyle w:val="ListBullet"/>
      </w:pPr>
      <w:r w:rsidRPr="00F430F8">
        <w:t>use and types of service markers</w:t>
      </w:r>
    </w:p>
    <w:p w:rsidR="00000000" w:rsidRPr="00F430F8" w:rsidP="00F430F8">
      <w:pPr>
        <w:pStyle w:val="ListBullet"/>
      </w:pPr>
      <w:r w:rsidRPr="00F430F8">
        <w:t>processes for establishing trench line and dep</w:t>
      </w:r>
      <w:r w:rsidRPr="00F430F8">
        <w:t>th</w:t>
      </w:r>
    </w:p>
    <w:p w:rsidR="00000000" w:rsidRPr="00F430F8" w:rsidP="00F430F8">
      <w:pPr>
        <w:pStyle w:val="ListBullet"/>
      </w:pPr>
      <w:r w:rsidRPr="00F430F8">
        <w:t>temporary drainage systems to divert surface and sub-surface water from excavations</w:t>
      </w:r>
    </w:p>
    <w:p w:rsidR="00000000" w:rsidRPr="00F430F8" w:rsidP="00F430F8">
      <w:pPr>
        <w:pStyle w:val="ListBullet"/>
      </w:pPr>
      <w:r w:rsidRPr="00F430F8">
        <w:t>types of basic trench excavation support.</w:t>
      </w:r>
    </w:p>
    <w:p w:rsidR="00000000" w:rsidRPr="00F430F8" w:rsidP="00F430F8">
      <w:pPr>
        <w:pStyle w:val="AllowPageBreak"/>
      </w:pPr>
    </w:p>
    <w:p w:rsidR="00000000" w:rsidRPr="00F430F8" w:rsidP="00F430F8">
      <w:pPr>
        <w:pStyle w:val="Heading1"/>
      </w:pPr>
      <w:bookmarkStart w:id="12" w:name="O_1295271"/>
      <w:bookmarkEnd w:id="12"/>
      <w:r w:rsidRPr="00F430F8">
        <w:t>Assessment Conditions</w:t>
      </w:r>
    </w:p>
    <w:p w:rsidR="00000000" w:rsidRPr="00F430F8" w:rsidP="00F119B8">
      <w:pPr>
        <w:pStyle w:val="BodyText"/>
      </w:pPr>
      <w:r w:rsidRPr="00F430F8">
        <w:t>Assessors must meet the requirements for assessors contained in the Standards for Regi</w:t>
      </w:r>
      <w:r w:rsidRPr="00F430F8">
        <w:t xml:space="preserve">stered Training Organisations. </w:t>
      </w:r>
    </w:p>
    <w:p w:rsidR="00000000" w:rsidRPr="00F430F8" w:rsidP="00F119B8">
      <w:pPr>
        <w:pStyle w:val="BodyText"/>
      </w:pPr>
      <w:r w:rsidRPr="00F430F8">
        <w:t xml:space="preserve">This unit must be assessed: </w:t>
      </w:r>
    </w:p>
    <w:p w:rsidR="00000000" w:rsidRPr="00F430F8" w:rsidP="00F430F8">
      <w:pPr>
        <w:pStyle w:val="ListBullet"/>
      </w:pPr>
      <w:r w:rsidRPr="00F430F8">
        <w:t>in the workplace or a close simulation of the workplace environment, provided that simulated or project-based assessment techniques replicate construction workplace conditions, materials, activi</w:t>
      </w:r>
      <w:r w:rsidRPr="00F430F8">
        <w:t>ties, responsibilities and procedures</w:t>
      </w:r>
    </w:p>
    <w:p w:rsidR="00000000" w:rsidRPr="00F430F8" w:rsidP="00F430F8">
      <w:pPr>
        <w:pStyle w:val="ListBullet"/>
      </w:pPr>
      <w:r w:rsidRPr="00F430F8">
        <w:t>using realistic tasks or simulated tasks, relevant specifications and work instructions, standard work practices, safety requirements and environmental constraints.</w:t>
      </w:r>
    </w:p>
    <w:p w:rsidR="00000000" w:rsidRPr="00F430F8" w:rsidP="00F430F8">
      <w:pPr>
        <w:pStyle w:val="AllowPageBreak"/>
      </w:pPr>
    </w:p>
    <w:p w:rsidR="00000000" w:rsidRPr="00F430F8" w:rsidP="00F430F8">
      <w:pPr>
        <w:pStyle w:val="Heading1"/>
      </w:pPr>
      <w:bookmarkStart w:id="13" w:name="O_1295284"/>
      <w:bookmarkEnd w:id="13"/>
      <w:r w:rsidRPr="00F430F8">
        <w:t>Links</w:t>
      </w:r>
    </w:p>
    <w:p w:rsidR="00000000" w:rsidRPr="00F430F8" w:rsidP="00F119B8">
      <w:pPr>
        <w:pStyle w:val="BodyText"/>
      </w:pPr>
      <w:r w:rsidRPr="00F430F8">
        <w:t>Companion volumes to this tr</w:t>
      </w:r>
      <w:r w:rsidRPr="00F430F8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6A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430F8" w:rsidP="00F430F8"/>
    <w:sectPr w:rsidSect="00F430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 w:rsidRPr="00F119B8" w:rsidP="00F11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8" w:rsidP="00F43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9B8" w:rsidP="00F43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19B8" w:rsidP="00F430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 w:rsidP="00F43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19B8">
      <w:t>Approved</w:t>
    </w:r>
    <w:r w:rsidR="00F119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19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19B8">
      <w:rPr>
        <w:noProof/>
      </w:rPr>
      <w:t>4</w:t>
    </w:r>
    <w:r>
      <w:rPr>
        <w:noProof/>
      </w:rPr>
      <w:fldChar w:fldCharType="end"/>
    </w:r>
  </w:p>
  <w:p w:rsidR="00F430F8" w:rsidP="00F43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19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19B8">
      <w:t>BuildSkills Australia</w:t>
    </w:r>
    <w:r w:rsidR="00F119B8">
      <w:fldChar w:fldCharType="end"/>
    </w:r>
  </w:p>
  <w:p w:rsidR="00F430F8" w:rsidP="00F43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0F8" w:rsidRPr="00F119B8" w:rsidP="00F11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8" w:rsidRPr="002D2AF8" w:rsidP="00F43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CPCCCM2002 Carry out hand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19B8" w:rsidP="00F430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8" w:rsidRPr="002D2AF8" w:rsidP="00F43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19B8">
      <w:t>CPCCCM2002 Carry out hand excavation</w:t>
    </w:r>
    <w:r w:rsidR="00F119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19B8">
      <w:rPr>
        <w:noProof/>
      </w:rPr>
      <w:t>2 March 2025</w:t>
    </w:r>
    <w:r>
      <w:fldChar w:fldCharType="end"/>
    </w:r>
  </w:p>
  <w:p w:rsidR="00F430F8" w:rsidP="00F43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01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C7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0F8"/>
  </w:style>
  <w:style w:type="character" w:customStyle="1" w:styleId="Heading1Char">
    <w:name w:val="Heading 1 Char"/>
    <w:basedOn w:val="DefaultParagraphFont"/>
    <w:link w:val="Heading1"/>
    <w:rsid w:val="00F43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0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30F8"/>
    <w:rPr>
      <w:i/>
    </w:rPr>
  </w:style>
  <w:style w:type="paragraph" w:customStyle="1" w:styleId="SuperHeading">
    <w:name w:val="SuperHeading"/>
    <w:basedOn w:val="Normal"/>
    <w:rsid w:val="00F43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0F8"/>
    <w:rPr>
      <w:b/>
      <w:spacing w:val="0"/>
    </w:rPr>
  </w:style>
  <w:style w:type="paragraph" w:customStyle="1" w:styleId="SuperTitle">
    <w:name w:val="SuperTitle"/>
    <w:basedOn w:val="Title"/>
    <w:rsid w:val="00F43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0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0F8"/>
  </w:style>
  <w:style w:type="paragraph" w:styleId="TableofFigures">
    <w:name w:val="table of figures"/>
    <w:basedOn w:val="Normal"/>
    <w:next w:val="Normal"/>
    <w:semiHidden/>
    <w:rsid w:val="00F43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0F8"/>
    <w:rPr>
      <w:rFonts w:ascii="Wingdings" w:hAnsi="Wingdings"/>
    </w:rPr>
  </w:style>
  <w:style w:type="paragraph" w:customStyle="1" w:styleId="TableHeading">
    <w:name w:val="Table Heading"/>
    <w:basedOn w:val="HeadingBase"/>
    <w:rsid w:val="00F43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0F8"/>
    <w:rPr>
      <w:color w:val="0033CC"/>
      <w:u w:val="none"/>
    </w:rPr>
  </w:style>
  <w:style w:type="paragraph" w:customStyle="1" w:styleId="BodyTextRight">
    <w:name w:val="Body Text Right"/>
    <w:basedOn w:val="BodyText"/>
    <w:rsid w:val="00F43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0F8"/>
    <w:rPr>
      <w:sz w:val="32"/>
    </w:rPr>
  </w:style>
  <w:style w:type="paragraph" w:customStyle="1" w:styleId="HeadingProcedure">
    <w:name w:val="Heading Procedure"/>
    <w:basedOn w:val="HeadingBase"/>
    <w:next w:val="Normal"/>
    <w:rsid w:val="00F43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0F8"/>
    <w:pPr>
      <w:spacing w:before="60" w:after="60"/>
    </w:pPr>
  </w:style>
  <w:style w:type="paragraph" w:styleId="ListContinue">
    <w:name w:val="List Continue"/>
    <w:basedOn w:val="List"/>
    <w:rsid w:val="00F430F8"/>
    <w:pPr>
      <w:ind w:firstLine="0"/>
    </w:pPr>
  </w:style>
  <w:style w:type="paragraph" w:customStyle="1" w:styleId="ListNote">
    <w:name w:val="List Note"/>
    <w:basedOn w:val="List"/>
    <w:rsid w:val="00F43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0F8"/>
    <w:rPr>
      <w:rFonts w:ascii="Courier New" w:hAnsi="Courier New"/>
    </w:rPr>
  </w:style>
  <w:style w:type="paragraph" w:customStyle="1" w:styleId="NoteBullet">
    <w:name w:val="Note Bullet"/>
    <w:basedOn w:val="Note"/>
    <w:rsid w:val="00F43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0F8"/>
    <w:rPr>
      <w:b/>
      <w:smallCaps/>
    </w:rPr>
  </w:style>
  <w:style w:type="paragraph" w:customStyle="1" w:styleId="TableListNumber">
    <w:name w:val="Table List Number"/>
    <w:basedOn w:val="ListNumber"/>
    <w:rsid w:val="00F43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0F8"/>
    <w:pPr>
      <w:numPr>
        <w:numId w:val="8"/>
      </w:numPr>
    </w:pPr>
  </w:style>
  <w:style w:type="paragraph" w:customStyle="1" w:styleId="ListAlpha2">
    <w:name w:val="List Alpha 2"/>
    <w:basedOn w:val="List2"/>
    <w:rsid w:val="00F430F8"/>
    <w:pPr>
      <w:numPr>
        <w:numId w:val="7"/>
      </w:numPr>
    </w:pPr>
  </w:style>
  <w:style w:type="paragraph" w:styleId="List2">
    <w:name w:val="List 2"/>
    <w:basedOn w:val="BodyText"/>
    <w:rsid w:val="00F43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0F8"/>
    <w:pPr>
      <w:numPr>
        <w:numId w:val="3"/>
      </w:numPr>
    </w:pPr>
  </w:style>
  <w:style w:type="paragraph" w:styleId="ListContinue2">
    <w:name w:val="List Continue 2"/>
    <w:basedOn w:val="List2"/>
    <w:rsid w:val="00F430F8"/>
    <w:pPr>
      <w:ind w:firstLine="0"/>
    </w:pPr>
  </w:style>
  <w:style w:type="paragraph" w:styleId="ListContinue3">
    <w:name w:val="List Continue 3"/>
    <w:basedOn w:val="List3"/>
    <w:rsid w:val="00F430F8"/>
    <w:pPr>
      <w:ind w:left="1021" w:firstLine="0"/>
    </w:pPr>
  </w:style>
  <w:style w:type="paragraph" w:styleId="ListContinue4">
    <w:name w:val="List Continue 4"/>
    <w:basedOn w:val="List4"/>
    <w:rsid w:val="00F430F8"/>
    <w:pPr>
      <w:ind w:firstLine="0"/>
    </w:pPr>
  </w:style>
  <w:style w:type="paragraph" w:styleId="ListContinue5">
    <w:name w:val="List Continue 5"/>
    <w:basedOn w:val="List5"/>
    <w:rsid w:val="00F430F8"/>
    <w:pPr>
      <w:ind w:firstLine="0"/>
    </w:pPr>
  </w:style>
  <w:style w:type="paragraph" w:styleId="ListNumber3">
    <w:name w:val="List Number 3"/>
    <w:basedOn w:val="List3"/>
    <w:rsid w:val="00F430F8"/>
    <w:pPr>
      <w:numPr>
        <w:numId w:val="4"/>
      </w:numPr>
    </w:pPr>
  </w:style>
  <w:style w:type="paragraph" w:styleId="ListNumber4">
    <w:name w:val="List Number 4"/>
    <w:basedOn w:val="List4"/>
    <w:rsid w:val="00F430F8"/>
    <w:pPr>
      <w:numPr>
        <w:numId w:val="5"/>
      </w:numPr>
    </w:pPr>
  </w:style>
  <w:style w:type="paragraph" w:styleId="ListNumber5">
    <w:name w:val="List Number 5"/>
    <w:basedOn w:val="List5"/>
    <w:rsid w:val="00F430F8"/>
    <w:pPr>
      <w:numPr>
        <w:numId w:val="6"/>
      </w:numPr>
    </w:pPr>
  </w:style>
  <w:style w:type="paragraph" w:styleId="BlockText">
    <w:name w:val="Block Text"/>
    <w:basedOn w:val="Normal"/>
    <w:rsid w:val="00F43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0F8"/>
    <w:rPr>
      <w:sz w:val="16"/>
      <w:vertAlign w:val="superscript"/>
    </w:rPr>
  </w:style>
  <w:style w:type="character" w:customStyle="1" w:styleId="Symbols">
    <w:name w:val="Symbols"/>
    <w:basedOn w:val="DefaultParagraphFont"/>
    <w:rsid w:val="00F430F8"/>
    <w:rPr>
      <w:rFonts w:ascii="Symbol" w:hAnsi="Symbol"/>
    </w:rPr>
  </w:style>
  <w:style w:type="character" w:customStyle="1" w:styleId="MenuOptions">
    <w:name w:val="Menu Options"/>
    <w:basedOn w:val="DefaultParagraphFont"/>
    <w:rsid w:val="00F43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0F8"/>
    <w:rPr>
      <w:b/>
    </w:rPr>
  </w:style>
  <w:style w:type="character" w:customStyle="1" w:styleId="Underlined">
    <w:name w:val="Underlined"/>
    <w:basedOn w:val="DefaultParagraphFont"/>
    <w:rsid w:val="00F430F8"/>
    <w:rPr>
      <w:u w:val="single"/>
    </w:rPr>
  </w:style>
  <w:style w:type="paragraph" w:customStyle="1" w:styleId="TableBodyTextRight">
    <w:name w:val="Table Body Text Right"/>
    <w:basedOn w:val="TableBodyText"/>
    <w:rsid w:val="00F43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0F8"/>
    <w:rPr>
      <w:sz w:val="18"/>
    </w:rPr>
  </w:style>
  <w:style w:type="paragraph" w:customStyle="1" w:styleId="BodySmallRight">
    <w:name w:val="Body Small Right"/>
    <w:basedOn w:val="BodyTextRight"/>
    <w:rsid w:val="00F430F8"/>
    <w:rPr>
      <w:sz w:val="18"/>
      <w:szCs w:val="18"/>
    </w:rPr>
  </w:style>
  <w:style w:type="paragraph" w:customStyle="1" w:styleId="MarginEdition">
    <w:name w:val="Margin Edition"/>
    <w:basedOn w:val="MarginNote"/>
    <w:rsid w:val="00F43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0F8"/>
    <w:rPr>
      <w:sz w:val="2"/>
      <w:szCs w:val="2"/>
    </w:rPr>
  </w:style>
  <w:style w:type="character" w:customStyle="1" w:styleId="Small">
    <w:name w:val="Small"/>
    <w:basedOn w:val="DefaultParagraphFont"/>
    <w:rsid w:val="00F430F8"/>
    <w:rPr>
      <w:sz w:val="16"/>
    </w:rPr>
  </w:style>
  <w:style w:type="paragraph" w:customStyle="1" w:styleId="WideTable">
    <w:name w:val="Wide Table"/>
    <w:basedOn w:val="Normal"/>
    <w:rsid w:val="00F43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0F8"/>
  </w:style>
  <w:style w:type="paragraph" w:styleId="Quote">
    <w:name w:val="Quote"/>
    <w:basedOn w:val="Heading1"/>
    <w:link w:val="QuoteChar"/>
    <w:qFormat/>
    <w:rsid w:val="00F43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0F8"/>
    <w:pPr>
      <w:pageBreakBefore/>
    </w:pPr>
  </w:style>
  <w:style w:type="paragraph" w:customStyle="1" w:styleId="Border">
    <w:name w:val="Border"/>
    <w:basedOn w:val="Normal"/>
    <w:qFormat/>
    <w:rsid w:val="00F43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0F8"/>
    <w:rPr>
      <w:u w:val="single"/>
    </w:rPr>
  </w:style>
  <w:style w:type="character" w:customStyle="1" w:styleId="BoldandItalics">
    <w:name w:val="Bold and Italics"/>
    <w:qFormat/>
    <w:rsid w:val="00F430F8"/>
    <w:rPr>
      <w:b/>
      <w:i/>
      <w:u w:val="none"/>
    </w:rPr>
  </w:style>
  <w:style w:type="paragraph" w:styleId="BalloonText">
    <w:name w:val="Balloon Text"/>
    <w:basedOn w:val="Normal"/>
    <w:link w:val="BalloonTextChar"/>
    <w:rsid w:val="00F43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0F8"/>
    <w:pPr>
      <w:spacing w:before="0" w:after="0"/>
    </w:pPr>
  </w:style>
  <w:style w:type="paragraph" w:customStyle="1" w:styleId="BodyTextBold">
    <w:name w:val="Body Text Bold"/>
    <w:basedOn w:val="BodyText"/>
    <w:qFormat/>
    <w:rsid w:val="00F430F8"/>
    <w:rPr>
      <w:b/>
    </w:rPr>
  </w:style>
  <w:style w:type="character" w:styleId="Hyperlink">
    <w:name w:val="Hyperlink"/>
    <w:basedOn w:val="DefaultParagraphFont"/>
    <w:uiPriority w:val="99"/>
    <w:unhideWhenUsed/>
    <w:rsid w:val="00F11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5209</Characters>
  <Application>Microsoft Office Word</Application>
  <DocSecurity>0</DocSecurity>
  <Lines>192</Lines>
  <Paragraphs>111</Paragraphs>
  <ScaleCrop>false</ScaleCrop>
  <Company>Author-it Software Corporation Ltd.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CPCCCM2002 Carry out hand excavation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