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F35" w:rsidP="00122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CPCCCM1016 Identify requirements for safe tilt-up work</w:t>
      </w:r>
      <w:r>
        <w:fldChar w:fldCharType="end"/>
      </w:r>
    </w:p>
    <w:p w:rsidR="00122F35" w:rsidP="00122F35">
      <w:pPr>
        <w:pStyle w:val="Version"/>
        <w:sectPr w:rsidSect="00837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0E3" w:rsidP="008370E3">
      <w:pPr>
        <w:pStyle w:val="SuperHeading"/>
      </w:pPr>
      <w:r w:rsidRPr="008370E3">
        <w:t>CPCCCM1016 Identify requirements for safe tilt-up work</w:t>
      </w:r>
    </w:p>
    <w:p w:rsidR="00000000" w:rsidRPr="008370E3" w:rsidP="008370E3">
      <w:pPr>
        <w:pStyle w:val="Heading1"/>
      </w:pPr>
      <w:bookmarkStart w:id="1" w:name="O_1013702"/>
      <w:bookmarkEnd w:id="1"/>
      <w:r w:rsidRPr="008370E3">
        <w:t>Modification History</w:t>
      </w:r>
    </w:p>
    <w:p w:rsidR="00000000" w:rsidRPr="008370E3" w:rsidP="00122F35">
      <w:r w:rsidRPr="008370E3">
        <w:t>Release 1.</w:t>
      </w:r>
    </w:p>
    <w:p w:rsidR="00000000" w:rsidRPr="008370E3" w:rsidP="00122F35">
      <w:r w:rsidRPr="008370E3">
        <w:t>Supersedes and equivalent to CPCCCM1016A Identify requirements for safe tilt-up work.</w:t>
      </w:r>
    </w:p>
    <w:p w:rsidR="00000000" w:rsidRPr="008370E3" w:rsidP="00122F35">
      <w:r w:rsidRPr="008370E3">
        <w:t>The unit of competency was updated to the Standards for Training Packages 2012.</w:t>
      </w:r>
    </w:p>
    <w:p w:rsidR="00000000" w:rsidRPr="008370E3" w:rsidP="00122F35">
      <w:pPr>
        <w:pStyle w:val="BodyText"/>
      </w:pPr>
      <w:r w:rsidRPr="008370E3">
        <w:t>This version first released with CPC Con</w:t>
      </w:r>
      <w:r w:rsidRPr="008370E3">
        <w:t>struction, Plumbing and Services Training Package Version 4.0.</w:t>
      </w:r>
    </w:p>
    <w:p w:rsidR="00000000" w:rsidRPr="008370E3" w:rsidP="008370E3">
      <w:pPr>
        <w:pStyle w:val="Heading1"/>
      </w:pPr>
      <w:bookmarkStart w:id="2" w:name="O_1013708"/>
      <w:bookmarkEnd w:id="2"/>
      <w:r w:rsidRPr="008370E3">
        <w:t>Application</w:t>
      </w:r>
    </w:p>
    <w:p w:rsidR="00000000" w:rsidRPr="008370E3" w:rsidP="00122F35">
      <w:pPr>
        <w:pStyle w:val="BodyText"/>
      </w:pPr>
      <w:r w:rsidRPr="008370E3">
        <w:t xml:space="preserve">This unit of competency specifies the skills and knowledge required to identify requirements for safe tilt-up work within the construction industry. </w:t>
      </w:r>
    </w:p>
    <w:p w:rsidR="00000000" w:rsidRPr="008370E3" w:rsidP="00122F35">
      <w:pPr>
        <w:pStyle w:val="BodyText"/>
      </w:pPr>
      <w:r w:rsidRPr="008370E3">
        <w:t xml:space="preserve">It includes </w:t>
      </w:r>
      <w:r w:rsidRPr="008370E3">
        <w:t xml:space="preserve">knowledge required for induction of construction workers prior to entering tilt-up workplaces. </w:t>
      </w:r>
    </w:p>
    <w:p w:rsidR="00000000" w:rsidRPr="008370E3" w:rsidP="00122F35">
      <w:pPr>
        <w:pStyle w:val="BodyText"/>
      </w:pPr>
      <w:r w:rsidRPr="008370E3">
        <w:t>It applies to workers in the construction industry. It involves working under supervision in a team environment.</w:t>
      </w:r>
    </w:p>
    <w:p w:rsidR="00000000" w:rsidRPr="008370E3" w:rsidP="00122F35">
      <w:pPr>
        <w:pStyle w:val="BodyText"/>
      </w:pPr>
      <w:r w:rsidRPr="008370E3">
        <w:t>Licensing requirements may apply to this unit o</w:t>
      </w:r>
      <w:r w:rsidRPr="008370E3">
        <w:t>f competency depending on the regulatory requirements of each jurisdiction. Relevant state and territory regulatory authorities should be consulted to confirm these requirements.</w:t>
      </w:r>
    </w:p>
    <w:p w:rsidR="00000000" w:rsidRPr="008370E3" w:rsidP="008370E3">
      <w:pPr>
        <w:pStyle w:val="Heading1"/>
      </w:pPr>
      <w:bookmarkStart w:id="3" w:name="O_1013707"/>
      <w:bookmarkEnd w:id="3"/>
      <w:r w:rsidRPr="008370E3">
        <w:t>Pre-requisite Unit</w:t>
      </w:r>
    </w:p>
    <w:p w:rsidR="00000000" w:rsidRPr="008370E3" w:rsidP="00122F35">
      <w:pPr>
        <w:pStyle w:val="BodyText"/>
      </w:pPr>
      <w:r w:rsidRPr="008370E3">
        <w:t>Nil</w:t>
      </w:r>
    </w:p>
    <w:p w:rsidR="00000000" w:rsidRPr="008370E3" w:rsidP="008370E3">
      <w:pPr>
        <w:pStyle w:val="Heading1"/>
      </w:pPr>
      <w:bookmarkStart w:id="4" w:name="O_1013706"/>
      <w:bookmarkEnd w:id="4"/>
      <w:r w:rsidRPr="008370E3">
        <w:t>Unit Sector</w:t>
      </w:r>
    </w:p>
    <w:p w:rsidR="00000000" w:rsidRPr="008370E3" w:rsidP="00122F35">
      <w:pPr>
        <w:pStyle w:val="BodyText"/>
      </w:pPr>
      <w:r w:rsidRPr="008370E3">
        <w:t>Cons</w:t>
      </w:r>
      <w:r w:rsidRPr="008370E3">
        <w:t>truction</w:t>
      </w:r>
    </w:p>
    <w:p w:rsidR="00000000" w:rsidRPr="008370E3" w:rsidP="008370E3">
      <w:pPr>
        <w:pStyle w:val="Heading1"/>
      </w:pPr>
      <w:bookmarkStart w:id="5" w:name="O_1013705"/>
      <w:bookmarkEnd w:id="5"/>
      <w:r w:rsidRPr="008370E3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8370E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E3">
            <w:pPr>
              <w:pStyle w:val="BodyText"/>
              <w:rPr>
                <w:lang w:val="en-NZ"/>
              </w:rPr>
            </w:pPr>
            <w:r w:rsidRPr="008370E3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E3">
            <w:pPr>
              <w:pStyle w:val="BodyText"/>
              <w:rPr>
                <w:lang w:val="en-NZ"/>
              </w:rPr>
            </w:pPr>
            <w:r w:rsidRPr="008370E3">
              <w:t>Performance criteria describe what needs to be done to demonstrate achievement of the element.</w:t>
            </w:r>
          </w:p>
        </w:tc>
      </w:tr>
      <w:tr w:rsidTr="008370E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E3">
            <w:pPr>
              <w:pStyle w:val="BodyText"/>
              <w:rPr>
                <w:lang w:val="en-NZ"/>
              </w:rPr>
            </w:pPr>
            <w:r w:rsidRPr="008370E3">
              <w:t>1.</w:t>
            </w:r>
            <w:r w:rsidRPr="008370E3">
              <w:tab/>
              <w:t>Identify tilt-up construction and risk managemen</w:t>
            </w:r>
            <w:r w:rsidRPr="008370E3">
              <w:t>t processes.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E3" w:rsidP="008370E3">
            <w:pPr>
              <w:pStyle w:val="BodyText"/>
            </w:pPr>
            <w:r w:rsidRPr="008370E3">
              <w:t>1.1</w:t>
            </w:r>
            <w:r w:rsidRPr="008370E3">
              <w:tab/>
              <w:t>Identify and describe relationships between each stage of the tilt-up construction process and the following stage, and typical faults, problems, hazards and possible effects if design and safety requirements are not met. </w:t>
            </w:r>
          </w:p>
          <w:p w:rsidR="00000000" w:rsidRPr="008370E3" w:rsidP="008370E3">
            <w:pPr>
              <w:pStyle w:val="BodyText"/>
            </w:pPr>
            <w:r w:rsidRPr="008370E3">
              <w:t>1.2</w:t>
            </w:r>
            <w:r w:rsidRPr="008370E3">
              <w:tab/>
              <w:t>Identify and</w:t>
            </w:r>
            <w:r w:rsidRPr="008370E3">
              <w:t xml:space="preserve"> describe basic principles of risk management and </w:t>
            </w:r>
            <w:r w:rsidRPr="008370E3">
              <w:t>duty-holders responsible.</w:t>
            </w:r>
          </w:p>
          <w:p w:rsidR="00000000" w:rsidRPr="008370E3" w:rsidP="008370E3">
            <w:pPr>
              <w:pStyle w:val="BodyText"/>
            </w:pPr>
            <w:r w:rsidRPr="008370E3">
              <w:t>1.3</w:t>
            </w:r>
            <w:r w:rsidRPr="008370E3">
              <w:tab/>
              <w:t xml:space="preserve">Identify and describe minimum requirements for a safe work method statement (SWMS) for each task as outlined in the </w:t>
            </w:r>
            <w:r w:rsidRPr="008370E3">
              <w:rPr>
                <w:rStyle w:val="Emphasis"/>
              </w:rPr>
              <w:t xml:space="preserve">National Code of Practice for Precast, Tilt-Up and Concrete </w:t>
            </w:r>
            <w:r w:rsidRPr="008370E3">
              <w:rPr>
                <w:rStyle w:val="Emphasis"/>
              </w:rPr>
              <w:t>Elements in Building Construction</w:t>
            </w:r>
            <w:r w:rsidRPr="008370E3">
              <w:t xml:space="preserve"> (the National Code), and the duty-holder responsible for its preparation and compliance.</w:t>
            </w:r>
          </w:p>
          <w:p w:rsidR="00000000" w:rsidRPr="008370E3" w:rsidP="008370E3">
            <w:pPr>
              <w:pStyle w:val="BodyText"/>
            </w:pPr>
            <w:r w:rsidRPr="008370E3">
              <w:t>1.4</w:t>
            </w:r>
            <w:r w:rsidRPr="008370E3">
              <w:tab/>
              <w:t>Identify and describe minimum requirements for a work plan and/or work health and safety (WHS) management plan for tilt-up constr</w:t>
            </w:r>
            <w:r w:rsidRPr="008370E3">
              <w:t>uction, as outlined in the National Code.</w:t>
            </w:r>
          </w:p>
          <w:p w:rsidR="00000000" w:rsidP="008370E3">
            <w:pPr>
              <w:pStyle w:val="BodyText"/>
              <w:rPr>
                <w:lang w:val="en-NZ"/>
              </w:rPr>
            </w:pPr>
            <w:r w:rsidRPr="008370E3">
              <w:t>1.5</w:t>
            </w:r>
            <w:r w:rsidRPr="008370E3">
              <w:tab/>
              <w:t>Identify available skills training opportunities relevant to own work, role and responsibilities.</w:t>
            </w:r>
          </w:p>
        </w:tc>
      </w:tr>
      <w:tr w:rsidTr="008370E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E3">
            <w:pPr>
              <w:pStyle w:val="BodyText"/>
              <w:rPr>
                <w:lang w:val="en-NZ"/>
              </w:rPr>
            </w:pPr>
            <w:r w:rsidRPr="008370E3">
              <w:t>2.</w:t>
            </w:r>
            <w:r w:rsidRPr="008370E3">
              <w:tab/>
              <w:t>Identify information relating to safe tilt-up construction.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E3" w:rsidP="008370E3">
            <w:pPr>
              <w:pStyle w:val="BodyText"/>
            </w:pPr>
            <w:r w:rsidRPr="008370E3">
              <w:t>2.1</w:t>
            </w:r>
            <w:r w:rsidRPr="008370E3">
              <w:tab/>
              <w:t>Identify and describe regulatory information</w:t>
            </w:r>
            <w:r w:rsidRPr="008370E3">
              <w:t xml:space="preserve"> relevant to own work, role and responsibilities.</w:t>
            </w:r>
          </w:p>
          <w:p w:rsidR="00000000" w:rsidRPr="008370E3" w:rsidP="008370E3">
            <w:pPr>
              <w:pStyle w:val="BodyText"/>
            </w:pPr>
            <w:r w:rsidRPr="008370E3">
              <w:t>2.2</w:t>
            </w:r>
            <w:r w:rsidRPr="008370E3">
              <w:tab/>
              <w:t>Identify and describe own role and responsibilities and those of others relevant to tilt-up construction.</w:t>
            </w:r>
          </w:p>
          <w:p w:rsidR="00000000" w:rsidRPr="008370E3" w:rsidP="008370E3">
            <w:pPr>
              <w:pStyle w:val="BodyText"/>
            </w:pPr>
            <w:r w:rsidRPr="008370E3">
              <w:t>2.3</w:t>
            </w:r>
            <w:r w:rsidRPr="008370E3">
              <w:tab/>
              <w:t>Identify and describe general work procedures, documentation, drawings and plans for carryin</w:t>
            </w:r>
            <w:r w:rsidRPr="008370E3">
              <w:t>g out the tilt-up construction process relevant to own work, role and responsibilities.</w:t>
            </w:r>
          </w:p>
          <w:p w:rsidR="00000000" w:rsidP="008370E3">
            <w:pPr>
              <w:pStyle w:val="BodyText"/>
              <w:rPr>
                <w:lang w:val="en-NZ"/>
              </w:rPr>
            </w:pPr>
            <w:r w:rsidRPr="008370E3">
              <w:t>2.4</w:t>
            </w:r>
            <w:r w:rsidRPr="008370E3">
              <w:tab/>
              <w:t>Identify and describe general safety requirements for equipment and tools used in the tilt-up construction process relevant to own work, role and responsibilities.</w:t>
            </w:r>
          </w:p>
        </w:tc>
      </w:tr>
      <w:tr w:rsidTr="008370E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0E3">
            <w:pPr>
              <w:pStyle w:val="BodyText"/>
              <w:rPr>
                <w:lang w:val="en-NZ"/>
              </w:rPr>
            </w:pPr>
            <w:r w:rsidRPr="008370E3">
              <w:t>3.</w:t>
            </w:r>
            <w:r w:rsidRPr="008370E3">
              <w:tab/>
              <w:t>Identify procedures relating to safe tilt-up construction to maintain own safety and that of others.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0E3" w:rsidP="008370E3">
            <w:pPr>
              <w:pStyle w:val="BodyText"/>
            </w:pPr>
            <w:r w:rsidRPr="008370E3">
              <w:t>3.1</w:t>
            </w:r>
            <w:r w:rsidRPr="008370E3">
              <w:tab/>
              <w:t>Communicate with others to establish that key safety requirements have been met for preceding stages of tilt-up construction.</w:t>
            </w:r>
          </w:p>
          <w:p w:rsidR="00000000" w:rsidRPr="008370E3" w:rsidP="008370E3">
            <w:pPr>
              <w:pStyle w:val="BodyText"/>
            </w:pPr>
            <w:r w:rsidRPr="008370E3">
              <w:t>3.2</w:t>
            </w:r>
            <w:r w:rsidRPr="008370E3">
              <w:tab/>
              <w:t>Identify and desc</w:t>
            </w:r>
            <w:r w:rsidRPr="008370E3">
              <w:t>ribe general procedures for responding to, rectifying and reporting faults, problems and hazards relevant to own work, role and responsibilities.</w:t>
            </w:r>
          </w:p>
          <w:p w:rsidR="00000000" w:rsidRPr="008370E3" w:rsidP="008370E3">
            <w:pPr>
              <w:pStyle w:val="BodyText"/>
            </w:pPr>
            <w:r w:rsidRPr="008370E3">
              <w:t>3.3</w:t>
            </w:r>
            <w:r w:rsidRPr="008370E3">
              <w:tab/>
              <w:t>Identify methods and procedures used to control tilt-up construction hazards, including the content of the</w:t>
            </w:r>
            <w:r w:rsidRPr="008370E3">
              <w:t xml:space="preserve"> work plan and/or WHS management plan and SWMSs relevant to own work, role and responsibilities.</w:t>
            </w:r>
          </w:p>
          <w:p w:rsidR="00000000" w:rsidRPr="008370E3" w:rsidP="008370E3">
            <w:pPr>
              <w:pStyle w:val="BodyText"/>
            </w:pPr>
            <w:r w:rsidRPr="008370E3">
              <w:t>3.4</w:t>
            </w:r>
            <w:r w:rsidRPr="008370E3">
              <w:tab/>
              <w:t>Identify and describe sequence of tasks and activities relevant to own work, and review adequacy of the associated SWMS by conducting a job safety analysis</w:t>
            </w:r>
            <w:r w:rsidRPr="008370E3">
              <w:t xml:space="preserve"> (JSA).</w:t>
            </w:r>
          </w:p>
        </w:tc>
      </w:tr>
    </w:tbl>
    <w:p w:rsidR="00000000" w:rsidRPr="008370E3" w:rsidP="008370E3">
      <w:pPr>
        <w:pStyle w:val="BodyText"/>
      </w:pPr>
    </w:p>
    <w:p w:rsidR="00000000" w:rsidRPr="008370E3" w:rsidP="008370E3">
      <w:pPr>
        <w:pStyle w:val="AllowPageBreak"/>
      </w:pPr>
    </w:p>
    <w:p w:rsidR="00000000" w:rsidRPr="008370E3" w:rsidP="008370E3">
      <w:pPr>
        <w:pStyle w:val="Heading1"/>
      </w:pPr>
      <w:bookmarkStart w:id="6" w:name="O_1013704"/>
      <w:bookmarkEnd w:id="6"/>
      <w:r w:rsidRPr="008370E3">
        <w:t>Foundation Skills</w:t>
      </w:r>
    </w:p>
    <w:p w:rsidR="00000000" w:rsidRPr="008370E3" w:rsidP="00122F35">
      <w:pPr>
        <w:pStyle w:val="BodyText"/>
      </w:pPr>
      <w:r w:rsidRPr="008370E3">
        <w:t>This section describes the language, literacy, numeracy and employment skills essential to performance in this unit but not explicit in the performance criteria.</w:t>
      </w:r>
    </w:p>
    <w:p w:rsidR="00000000" w:rsidRPr="008370E3" w:rsidP="008370E3">
      <w:pPr>
        <w:pStyle w:val="ListBullet"/>
      </w:pPr>
      <w:r w:rsidRPr="008370E3">
        <w:t xml:space="preserve">reading skills to: </w:t>
      </w:r>
    </w:p>
    <w:p w:rsidR="00000000" w:rsidRPr="008370E3" w:rsidP="008370E3">
      <w:pPr>
        <w:pStyle w:val="ListBullet2"/>
      </w:pPr>
      <w:r w:rsidRPr="008370E3">
        <w:t>understand written instructions, procedures and signs</w:t>
      </w:r>
    </w:p>
    <w:p w:rsidR="00000000" w:rsidRPr="008370E3" w:rsidP="008370E3">
      <w:pPr>
        <w:pStyle w:val="ListBullet"/>
      </w:pPr>
      <w:r w:rsidRPr="008370E3">
        <w:t>oral communication skills to:</w:t>
      </w:r>
    </w:p>
    <w:p w:rsidR="00000000" w:rsidRPr="008370E3" w:rsidP="008370E3">
      <w:pPr>
        <w:pStyle w:val="ListBullet2"/>
      </w:pPr>
      <w:r w:rsidRPr="008370E3">
        <w:t>use questioning to identify and confirm requirements</w:t>
      </w:r>
    </w:p>
    <w:p w:rsidR="00000000" w:rsidRPr="008370E3" w:rsidP="008370E3">
      <w:pPr>
        <w:pStyle w:val="ListBullet2"/>
      </w:pPr>
      <w:r w:rsidRPr="008370E3">
        <w:t>discuss cause of problems</w:t>
      </w:r>
    </w:p>
    <w:p w:rsidR="00000000" w:rsidRPr="008370E3" w:rsidP="008370E3">
      <w:pPr>
        <w:pStyle w:val="ListBullet2"/>
      </w:pPr>
      <w:r w:rsidRPr="008370E3">
        <w:t>report faults in tools, equipment and materials.</w:t>
      </w:r>
    </w:p>
    <w:p w:rsidR="00000000" w:rsidRPr="008370E3" w:rsidP="008370E3">
      <w:pPr>
        <w:pStyle w:val="AllowPageBreak"/>
      </w:pPr>
    </w:p>
    <w:p w:rsidR="00000000" w:rsidRPr="008370E3" w:rsidP="008370E3">
      <w:pPr>
        <w:pStyle w:val="Heading1"/>
      </w:pPr>
      <w:bookmarkStart w:id="7" w:name="O_1013703"/>
      <w:bookmarkEnd w:id="7"/>
      <w:r w:rsidRPr="008370E3">
        <w:t>Unit Mapping Informatio</w:t>
      </w:r>
      <w:r w:rsidRPr="008370E3">
        <w:t>n</w:t>
      </w:r>
    </w:p>
    <w:p w:rsidR="00000000" w:rsidRPr="008370E3" w:rsidP="00122F35">
      <w:pPr>
        <w:pStyle w:val="BodyText"/>
      </w:pPr>
      <w:r w:rsidRPr="008370E3">
        <w:t>Supersedes and is equivalent to CPCCCM1016A Identify requirements for safe tilt-up work.</w:t>
      </w:r>
    </w:p>
    <w:p w:rsidR="00000000" w:rsidRPr="008370E3" w:rsidP="008370E3">
      <w:pPr>
        <w:pStyle w:val="Heading1"/>
      </w:pPr>
      <w:bookmarkStart w:id="8" w:name="O_1013696"/>
      <w:bookmarkEnd w:id="8"/>
      <w:r w:rsidRPr="008370E3">
        <w:t>Links</w:t>
      </w:r>
    </w:p>
    <w:p w:rsidR="00000000" w:rsidRPr="008370E3" w:rsidP="00122F35">
      <w:pPr>
        <w:pStyle w:val="BodyText"/>
      </w:pPr>
      <w:r w:rsidRPr="008370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418D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370E3" w:rsidP="008370E3"/>
    <w:sectPr w:rsidSect="008370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E3" w:rsidRPr="00122F35" w:rsidP="00122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35" w:rsidP="00837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2F35" w:rsidP="00837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22F35" w:rsidP="00837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0E3" w:rsidRPr="00122F35" w:rsidP="00122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F35" w:rsidRPr="002D2AF8" w:rsidP="00837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CPCCCM1016 Identify requirements for safe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22F35" w:rsidP="00837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EEF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A2C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E42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0E3"/>
  </w:style>
  <w:style w:type="character" w:customStyle="1" w:styleId="Heading1Char">
    <w:name w:val="Heading 1 Char"/>
    <w:basedOn w:val="DefaultParagraphFont"/>
    <w:link w:val="Heading1"/>
    <w:rsid w:val="00837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0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70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70E3"/>
    <w:rPr>
      <w:i/>
    </w:rPr>
  </w:style>
  <w:style w:type="paragraph" w:customStyle="1" w:styleId="SuperHeading">
    <w:name w:val="SuperHeading"/>
    <w:basedOn w:val="Normal"/>
    <w:rsid w:val="00837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70E3"/>
    <w:rPr>
      <w:b/>
      <w:spacing w:val="0"/>
    </w:rPr>
  </w:style>
  <w:style w:type="paragraph" w:customStyle="1" w:styleId="SuperTitle">
    <w:name w:val="SuperTitle"/>
    <w:basedOn w:val="Title"/>
    <w:rsid w:val="00837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7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0E3"/>
  </w:style>
  <w:style w:type="paragraph" w:styleId="TableofFigures">
    <w:name w:val="table of figures"/>
    <w:basedOn w:val="Normal"/>
    <w:next w:val="Normal"/>
    <w:semiHidden/>
    <w:rsid w:val="00837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0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0E3"/>
    <w:rPr>
      <w:rFonts w:ascii="Wingdings" w:hAnsi="Wingdings"/>
    </w:rPr>
  </w:style>
  <w:style w:type="paragraph" w:customStyle="1" w:styleId="TableHeading">
    <w:name w:val="Table Heading"/>
    <w:basedOn w:val="HeadingBase"/>
    <w:rsid w:val="00837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0E3"/>
    <w:rPr>
      <w:color w:val="0033CC"/>
      <w:u w:val="none"/>
    </w:rPr>
  </w:style>
  <w:style w:type="paragraph" w:customStyle="1" w:styleId="BodyTextRight">
    <w:name w:val="Body Text Right"/>
    <w:basedOn w:val="BodyText"/>
    <w:rsid w:val="00837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0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0E3"/>
    <w:rPr>
      <w:sz w:val="32"/>
    </w:rPr>
  </w:style>
  <w:style w:type="paragraph" w:customStyle="1" w:styleId="HeadingProcedure">
    <w:name w:val="Heading Procedure"/>
    <w:basedOn w:val="HeadingBase"/>
    <w:next w:val="Normal"/>
    <w:rsid w:val="00837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0E3"/>
    <w:pPr>
      <w:spacing w:before="60" w:after="60"/>
    </w:pPr>
  </w:style>
  <w:style w:type="paragraph" w:styleId="ListContinue">
    <w:name w:val="List Continue"/>
    <w:basedOn w:val="List"/>
    <w:rsid w:val="008370E3"/>
    <w:pPr>
      <w:ind w:firstLine="0"/>
    </w:pPr>
  </w:style>
  <w:style w:type="paragraph" w:customStyle="1" w:styleId="ListNote">
    <w:name w:val="List Note"/>
    <w:basedOn w:val="List"/>
    <w:rsid w:val="00837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0E3"/>
    <w:rPr>
      <w:rFonts w:ascii="Courier New" w:hAnsi="Courier New"/>
    </w:rPr>
  </w:style>
  <w:style w:type="paragraph" w:customStyle="1" w:styleId="NoteBullet">
    <w:name w:val="Note Bullet"/>
    <w:basedOn w:val="Note"/>
    <w:rsid w:val="00837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0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0E3"/>
    <w:rPr>
      <w:b/>
      <w:smallCaps/>
    </w:rPr>
  </w:style>
  <w:style w:type="paragraph" w:customStyle="1" w:styleId="TableListNumber">
    <w:name w:val="Table List Number"/>
    <w:basedOn w:val="ListNumber"/>
    <w:rsid w:val="00837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0E3"/>
    <w:pPr>
      <w:numPr>
        <w:numId w:val="9"/>
      </w:numPr>
    </w:pPr>
  </w:style>
  <w:style w:type="paragraph" w:customStyle="1" w:styleId="ListAlpha2">
    <w:name w:val="List Alpha 2"/>
    <w:basedOn w:val="List2"/>
    <w:rsid w:val="008370E3"/>
    <w:pPr>
      <w:numPr>
        <w:numId w:val="8"/>
      </w:numPr>
    </w:pPr>
  </w:style>
  <w:style w:type="paragraph" w:styleId="List2">
    <w:name w:val="List 2"/>
    <w:basedOn w:val="BodyText"/>
    <w:rsid w:val="00837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0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0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0E3"/>
    <w:pPr>
      <w:numPr>
        <w:numId w:val="4"/>
      </w:numPr>
    </w:pPr>
  </w:style>
  <w:style w:type="paragraph" w:styleId="ListContinue2">
    <w:name w:val="List Continue 2"/>
    <w:basedOn w:val="List2"/>
    <w:rsid w:val="008370E3"/>
    <w:pPr>
      <w:ind w:firstLine="0"/>
    </w:pPr>
  </w:style>
  <w:style w:type="paragraph" w:styleId="ListContinue3">
    <w:name w:val="List Continue 3"/>
    <w:basedOn w:val="List3"/>
    <w:rsid w:val="008370E3"/>
    <w:pPr>
      <w:ind w:left="1021" w:firstLine="0"/>
    </w:pPr>
  </w:style>
  <w:style w:type="paragraph" w:styleId="ListContinue4">
    <w:name w:val="List Continue 4"/>
    <w:basedOn w:val="List4"/>
    <w:rsid w:val="008370E3"/>
    <w:pPr>
      <w:ind w:firstLine="0"/>
    </w:pPr>
  </w:style>
  <w:style w:type="paragraph" w:styleId="ListContinue5">
    <w:name w:val="List Continue 5"/>
    <w:basedOn w:val="List5"/>
    <w:rsid w:val="008370E3"/>
    <w:pPr>
      <w:ind w:firstLine="0"/>
    </w:pPr>
  </w:style>
  <w:style w:type="paragraph" w:styleId="ListNumber3">
    <w:name w:val="List Number 3"/>
    <w:basedOn w:val="List3"/>
    <w:rsid w:val="008370E3"/>
    <w:pPr>
      <w:numPr>
        <w:numId w:val="5"/>
      </w:numPr>
    </w:pPr>
  </w:style>
  <w:style w:type="paragraph" w:styleId="ListNumber4">
    <w:name w:val="List Number 4"/>
    <w:basedOn w:val="List4"/>
    <w:rsid w:val="008370E3"/>
    <w:pPr>
      <w:numPr>
        <w:numId w:val="6"/>
      </w:numPr>
    </w:pPr>
  </w:style>
  <w:style w:type="paragraph" w:styleId="ListNumber5">
    <w:name w:val="List Number 5"/>
    <w:basedOn w:val="List5"/>
    <w:rsid w:val="008370E3"/>
    <w:pPr>
      <w:numPr>
        <w:numId w:val="7"/>
      </w:numPr>
    </w:pPr>
  </w:style>
  <w:style w:type="paragraph" w:styleId="BlockText">
    <w:name w:val="Block Text"/>
    <w:basedOn w:val="Normal"/>
    <w:rsid w:val="00837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0E3"/>
    <w:rPr>
      <w:sz w:val="16"/>
      <w:vertAlign w:val="superscript"/>
    </w:rPr>
  </w:style>
  <w:style w:type="character" w:customStyle="1" w:styleId="Symbols">
    <w:name w:val="Symbols"/>
    <w:basedOn w:val="DefaultParagraphFont"/>
    <w:rsid w:val="008370E3"/>
    <w:rPr>
      <w:rFonts w:ascii="Symbol" w:hAnsi="Symbol"/>
    </w:rPr>
  </w:style>
  <w:style w:type="character" w:customStyle="1" w:styleId="MenuOptions">
    <w:name w:val="Menu Options"/>
    <w:basedOn w:val="DefaultParagraphFont"/>
    <w:rsid w:val="00837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0E3"/>
    <w:rPr>
      <w:b/>
    </w:rPr>
  </w:style>
  <w:style w:type="character" w:customStyle="1" w:styleId="Underlined">
    <w:name w:val="Underlined"/>
    <w:basedOn w:val="DefaultParagraphFont"/>
    <w:rsid w:val="008370E3"/>
    <w:rPr>
      <w:u w:val="single"/>
    </w:rPr>
  </w:style>
  <w:style w:type="paragraph" w:customStyle="1" w:styleId="TableBodyTextRight">
    <w:name w:val="Table Body Text Right"/>
    <w:basedOn w:val="TableBodyText"/>
    <w:rsid w:val="00837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0E3"/>
    <w:rPr>
      <w:sz w:val="18"/>
    </w:rPr>
  </w:style>
  <w:style w:type="paragraph" w:customStyle="1" w:styleId="BodySmallRight">
    <w:name w:val="Body Small Right"/>
    <w:basedOn w:val="BodyTextRight"/>
    <w:rsid w:val="008370E3"/>
    <w:rPr>
      <w:sz w:val="18"/>
      <w:szCs w:val="18"/>
    </w:rPr>
  </w:style>
  <w:style w:type="paragraph" w:customStyle="1" w:styleId="MarginEdition">
    <w:name w:val="Margin Edition"/>
    <w:basedOn w:val="MarginNote"/>
    <w:rsid w:val="00837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0E3"/>
    <w:rPr>
      <w:sz w:val="2"/>
      <w:szCs w:val="2"/>
    </w:rPr>
  </w:style>
  <w:style w:type="character" w:customStyle="1" w:styleId="Small">
    <w:name w:val="Small"/>
    <w:basedOn w:val="DefaultParagraphFont"/>
    <w:rsid w:val="008370E3"/>
    <w:rPr>
      <w:sz w:val="16"/>
    </w:rPr>
  </w:style>
  <w:style w:type="paragraph" w:customStyle="1" w:styleId="WideTable">
    <w:name w:val="Wide Table"/>
    <w:basedOn w:val="Normal"/>
    <w:rsid w:val="00837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0E3"/>
  </w:style>
  <w:style w:type="paragraph" w:styleId="Quote">
    <w:name w:val="Quote"/>
    <w:basedOn w:val="Heading1"/>
    <w:link w:val="QuoteChar"/>
    <w:qFormat/>
    <w:rsid w:val="00837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0E3"/>
    <w:pPr>
      <w:pageBreakBefore/>
    </w:pPr>
  </w:style>
  <w:style w:type="paragraph" w:customStyle="1" w:styleId="Border">
    <w:name w:val="Border"/>
    <w:basedOn w:val="Normal"/>
    <w:qFormat/>
    <w:rsid w:val="00837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0E3"/>
    <w:rPr>
      <w:u w:val="single"/>
    </w:rPr>
  </w:style>
  <w:style w:type="character" w:customStyle="1" w:styleId="BoldandItalics">
    <w:name w:val="Bold and Italics"/>
    <w:qFormat/>
    <w:rsid w:val="008370E3"/>
    <w:rPr>
      <w:b/>
      <w:i/>
      <w:u w:val="none"/>
    </w:rPr>
  </w:style>
  <w:style w:type="paragraph" w:styleId="BalloonText">
    <w:name w:val="Balloon Text"/>
    <w:basedOn w:val="Normal"/>
    <w:link w:val="BalloonTextChar"/>
    <w:rsid w:val="00837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0E3"/>
    <w:pPr>
      <w:spacing w:before="0" w:after="0"/>
    </w:pPr>
  </w:style>
  <w:style w:type="paragraph" w:customStyle="1" w:styleId="BodyTextBold">
    <w:name w:val="Body Text Bold"/>
    <w:basedOn w:val="BodyText"/>
    <w:qFormat/>
    <w:rsid w:val="008370E3"/>
    <w:rPr>
      <w:b/>
    </w:rPr>
  </w:style>
  <w:style w:type="character" w:styleId="Hyperlink">
    <w:name w:val="Hyperlink"/>
    <w:basedOn w:val="DefaultParagraphFont"/>
    <w:uiPriority w:val="99"/>
    <w:unhideWhenUsed/>
    <w:rsid w:val="00122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3867</Characters>
  <Application>Microsoft Office Word</Application>
  <DocSecurity>0</DocSecurity>
  <Lines>110</Lines>
  <Paragraphs>57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CPCCCM1016 Identify requirements for safe tilt-up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