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4094" w:rsidP="002D40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CPCCCM1016 Identify requirements for safe tilt-up work</w:t>
      </w:r>
      <w:r>
        <w:fldChar w:fldCharType="end"/>
      </w:r>
    </w:p>
    <w:p w:rsidR="002D4094" w:rsidP="002D4094">
      <w:pPr>
        <w:pStyle w:val="Version"/>
        <w:sectPr w:rsidSect="00D77F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7FEB" w:rsidP="00D77FEB">
      <w:pPr>
        <w:pStyle w:val="SuperHeading"/>
      </w:pPr>
      <w:r w:rsidRPr="00D77FEB">
        <w:t>Assessment Requirements for CPCCCM1016 Identify requirements for safe tilt-up work</w:t>
      </w:r>
    </w:p>
    <w:p w:rsidR="00000000" w:rsidRPr="00D77FEB" w:rsidP="00D77FEB">
      <w:pPr>
        <w:pStyle w:val="Heading1"/>
      </w:pPr>
      <w:bookmarkStart w:id="1" w:name="O_1013698"/>
      <w:bookmarkEnd w:id="1"/>
      <w:r w:rsidRPr="00D77FEB">
        <w:t>Modification History</w:t>
      </w:r>
    </w:p>
    <w:p w:rsidR="00000000" w:rsidRPr="00D77FEB" w:rsidP="002D4094">
      <w:r w:rsidRPr="00D77FEB">
        <w:t>Release 1.</w:t>
      </w:r>
    </w:p>
    <w:p w:rsidR="00000000" w:rsidRPr="00D77FEB" w:rsidP="002D4094">
      <w:r w:rsidRPr="00D77FEB">
        <w:t>Supersedes and equivalent to CPCCCM1016A Identify requirements for safe tilt-up work.</w:t>
      </w:r>
    </w:p>
    <w:p w:rsidR="00000000" w:rsidRPr="00D77FEB" w:rsidP="002D4094">
      <w:r w:rsidRPr="00D77FEB">
        <w:t>The unit of competency was updated to the Standards for Training Packages 2012.</w:t>
      </w:r>
    </w:p>
    <w:p w:rsidR="00000000" w:rsidRPr="00D77FEB" w:rsidP="002D4094">
      <w:pPr>
        <w:pStyle w:val="BodyText"/>
      </w:pPr>
      <w:r w:rsidRPr="00D77FEB">
        <w:t>This version first released with CPC Construction, Plumbing and Services Training Package Version 4.0.</w:t>
      </w:r>
    </w:p>
    <w:p w:rsidR="00000000" w:rsidRPr="00D77FEB" w:rsidP="00D77FEB">
      <w:pPr>
        <w:pStyle w:val="Heading1"/>
      </w:pPr>
      <w:bookmarkStart w:id="2" w:name="O_1013701"/>
      <w:bookmarkEnd w:id="2"/>
      <w:r w:rsidRPr="00D77FEB">
        <w:t>Performance Evidence</w:t>
      </w:r>
    </w:p>
    <w:p w:rsidR="00000000" w:rsidRPr="00D77FEB" w:rsidP="002D4094">
      <w:pPr>
        <w:pStyle w:val="BodyText"/>
      </w:pPr>
      <w:r w:rsidRPr="00D77FEB">
        <w:t>To demonstrate competency in this</w:t>
      </w:r>
      <w:r w:rsidRPr="00D77FEB">
        <w:t xml:space="preserve"> unit, a person must identify requirements for safe tilt-up work at one workplace where the tilt</w:t>
      </w:r>
      <w:r w:rsidRPr="00D77FEB">
        <w:noBreakHyphen/>
        <w:t>up construction process is used.</w:t>
      </w:r>
    </w:p>
    <w:p w:rsidR="00000000" w:rsidRPr="00D77FEB" w:rsidP="002D4094">
      <w:pPr>
        <w:pStyle w:val="BodyText"/>
      </w:pPr>
      <w:r w:rsidRPr="00D77FEB">
        <w:t>In doing this, the person must meet the performance criteria for this unit.</w:t>
      </w:r>
    </w:p>
    <w:p w:rsidR="00000000" w:rsidRPr="00D77FEB" w:rsidP="00D77FEB">
      <w:pPr>
        <w:pStyle w:val="Heading1"/>
      </w:pPr>
      <w:bookmarkStart w:id="3" w:name="O_1013700"/>
      <w:bookmarkEnd w:id="3"/>
      <w:r w:rsidRPr="00D77FEB">
        <w:t>Knowledge Evidence</w:t>
      </w:r>
    </w:p>
    <w:p w:rsidR="00000000" w:rsidRPr="00D77FEB" w:rsidP="002D4094">
      <w:pPr>
        <w:pStyle w:val="BodyText"/>
      </w:pPr>
      <w:r w:rsidRPr="00D77FEB">
        <w:t>To be compet</w:t>
      </w:r>
      <w:r w:rsidRPr="00D77FEB">
        <w:t xml:space="preserve">ent in this unit, a person must demonstrate knowledge of: </w:t>
      </w:r>
    </w:p>
    <w:p w:rsidR="00000000" w:rsidRPr="00D77FEB" w:rsidP="00D77FEB">
      <w:pPr>
        <w:pStyle w:val="ListBullet"/>
      </w:pPr>
      <w:r w:rsidRPr="00D77FEB">
        <w:t>stages of the tilt-up construction process and their interrelationships, including:</w:t>
      </w:r>
    </w:p>
    <w:p w:rsidR="00000000" w:rsidRPr="00D77FEB" w:rsidP="00D77FEB">
      <w:pPr>
        <w:pStyle w:val="ListBullet2"/>
      </w:pPr>
      <w:r w:rsidRPr="00D77FEB">
        <w:t>design and manufacture</w:t>
      </w:r>
    </w:p>
    <w:p w:rsidR="00000000" w:rsidRPr="00D77FEB" w:rsidP="00D77FEB">
      <w:pPr>
        <w:pStyle w:val="ListBullet2"/>
      </w:pPr>
      <w:r w:rsidRPr="00D77FEB">
        <w:t>handling, storage and transportation</w:t>
      </w:r>
    </w:p>
    <w:p w:rsidR="00000000" w:rsidRPr="00D77FEB" w:rsidP="00D77FEB">
      <w:pPr>
        <w:pStyle w:val="ListBullet2"/>
      </w:pPr>
      <w:r w:rsidRPr="00D77FEB">
        <w:t>cranage and erection</w:t>
      </w:r>
    </w:p>
    <w:p w:rsidR="00000000" w:rsidRPr="00D77FEB" w:rsidP="00D77FEB">
      <w:pPr>
        <w:pStyle w:val="ListBullet2"/>
      </w:pPr>
      <w:r w:rsidRPr="00D77FEB">
        <w:t>temporary bracing, stabilisation and incorporation of concrete panels</w:t>
      </w:r>
    </w:p>
    <w:p w:rsidR="00000000" w:rsidRPr="00D77FEB" w:rsidP="00D77FEB">
      <w:pPr>
        <w:pStyle w:val="ListBullet2"/>
      </w:pPr>
      <w:r w:rsidRPr="00D77FEB">
        <w:t>demolition</w:t>
      </w:r>
    </w:p>
    <w:p w:rsidR="00000000" w:rsidRPr="00D77FEB" w:rsidP="00D77FEB">
      <w:pPr>
        <w:pStyle w:val="ListBullet"/>
      </w:pPr>
      <w:r w:rsidRPr="00D77FEB">
        <w:t>basic principles of risk management relating to the tilt-up construction process</w:t>
      </w:r>
    </w:p>
    <w:p w:rsidR="00000000" w:rsidRPr="00D77FEB" w:rsidP="00D77FEB">
      <w:pPr>
        <w:pStyle w:val="ListBullet"/>
      </w:pPr>
      <w:r w:rsidRPr="00D77FEB">
        <w:t xml:space="preserve">minimum requirements outlined in the </w:t>
      </w:r>
      <w:r w:rsidRPr="00D77FEB">
        <w:rPr>
          <w:rStyle w:val="Emphasis"/>
        </w:rPr>
        <w:t>National Code of Practice for Precast, Tilt-Up and Concr</w:t>
      </w:r>
      <w:r w:rsidRPr="00D77FEB">
        <w:rPr>
          <w:rStyle w:val="Emphasis"/>
        </w:rPr>
        <w:t>ete Elements in Building Construction</w:t>
      </w:r>
      <w:r w:rsidRPr="00D77FEB">
        <w:t xml:space="preserve"> for:</w:t>
      </w:r>
    </w:p>
    <w:p w:rsidR="00000000" w:rsidRPr="00D77FEB" w:rsidP="00D77FEB">
      <w:pPr>
        <w:pStyle w:val="ListBullet2"/>
      </w:pPr>
      <w:r w:rsidRPr="00D77FEB">
        <w:t>safe work method statements (SWMSs) for each task</w:t>
      </w:r>
    </w:p>
    <w:p w:rsidR="00000000" w:rsidRPr="00D77FEB" w:rsidP="00D77FEB">
      <w:pPr>
        <w:pStyle w:val="ListBullet2"/>
      </w:pPr>
      <w:r w:rsidRPr="00D77FEB">
        <w:t>work plans and/or work health and safety (WHS) management plans for tilt-up construction</w:t>
      </w:r>
    </w:p>
    <w:p w:rsidR="00000000" w:rsidRPr="00D77FEB" w:rsidP="00D77FEB">
      <w:pPr>
        <w:pStyle w:val="ListBullet"/>
      </w:pPr>
      <w:r w:rsidRPr="00D77FEB">
        <w:t>regulatory information relating to the tilt-up construction process, inc</w:t>
      </w:r>
      <w:r w:rsidRPr="00D77FEB">
        <w:t>luding:</w:t>
      </w:r>
    </w:p>
    <w:p w:rsidR="00000000" w:rsidRPr="00D77FEB" w:rsidP="00D77FEB">
      <w:pPr>
        <w:pStyle w:val="ListBullet2"/>
      </w:pPr>
      <w:r w:rsidRPr="00D77FEB">
        <w:t>relevant standards, regulations and codes of practice for tilt-up and pre-cast concrete construction, including Australian Standard AS 3850-2003 Tilt-up Concrete Construction.</w:t>
      </w:r>
    </w:p>
    <w:p w:rsidR="00000000" w:rsidRPr="00D77FEB" w:rsidP="00D77FEB">
      <w:pPr>
        <w:pStyle w:val="ListBullet2"/>
      </w:pPr>
      <w:r w:rsidRPr="00D77FEB">
        <w:t>duty-holder responsibilities</w:t>
      </w:r>
    </w:p>
    <w:p w:rsidR="00000000" w:rsidRPr="00D77FEB" w:rsidP="00D77FEB">
      <w:pPr>
        <w:pStyle w:val="ListBullet2"/>
      </w:pPr>
      <w:r w:rsidRPr="00D77FEB">
        <w:t>emergency procedures</w:t>
      </w:r>
    </w:p>
    <w:p w:rsidR="00000000" w:rsidRPr="00D77FEB" w:rsidP="00D77FEB">
      <w:pPr>
        <w:pStyle w:val="ListBullet2"/>
      </w:pPr>
      <w:r w:rsidRPr="00D77FEB">
        <w:t>training, supervision</w:t>
      </w:r>
      <w:r w:rsidRPr="00D77FEB">
        <w:t xml:space="preserve"> and risk management in the context of tilt-up and pre-cast concrete construction</w:t>
      </w:r>
    </w:p>
    <w:p w:rsidR="00000000" w:rsidRPr="00D77FEB" w:rsidP="00D77FEB">
      <w:pPr>
        <w:pStyle w:val="ListBullet"/>
      </w:pPr>
      <w:r w:rsidRPr="00D77FEB">
        <w:t>general safety requirements for equipment and tools used in the tilt-up construction process, including those for:</w:t>
      </w:r>
    </w:p>
    <w:p w:rsidR="00000000" w:rsidRPr="00D77FEB" w:rsidP="00D77FEB">
      <w:pPr>
        <w:pStyle w:val="ListBullet2"/>
      </w:pPr>
      <w:r w:rsidRPr="00D77FEB">
        <w:t>cranes</w:t>
      </w:r>
    </w:p>
    <w:p w:rsidR="00000000" w:rsidRPr="00D77FEB" w:rsidP="00D77FEB">
      <w:pPr>
        <w:pStyle w:val="ListBullet2"/>
      </w:pPr>
      <w:r w:rsidRPr="00D77FEB">
        <w:t>elevated work platforms</w:t>
      </w:r>
    </w:p>
    <w:p w:rsidR="00000000" w:rsidRPr="00D77FEB" w:rsidP="00D77FEB">
      <w:pPr>
        <w:pStyle w:val="ListBullet2"/>
      </w:pPr>
      <w:r w:rsidRPr="00D77FEB">
        <w:t>manual tools</w:t>
      </w:r>
    </w:p>
    <w:p w:rsidR="00000000" w:rsidRPr="00D77FEB" w:rsidP="00D77FEB">
      <w:pPr>
        <w:pStyle w:val="ListBullet2"/>
      </w:pPr>
      <w:r w:rsidRPr="00D77FEB">
        <w:t>mobile scaffolding</w:t>
      </w:r>
    </w:p>
    <w:p w:rsidR="00000000" w:rsidRPr="00D77FEB" w:rsidP="00D77FEB">
      <w:pPr>
        <w:pStyle w:val="ListBullet2"/>
      </w:pPr>
      <w:r w:rsidRPr="00D77FEB">
        <w:t>portable electric and pneumatic tools</w:t>
      </w:r>
    </w:p>
    <w:p w:rsidR="00000000" w:rsidRPr="00D77FEB" w:rsidP="00D77FEB">
      <w:pPr>
        <w:pStyle w:val="ListBullet2"/>
      </w:pPr>
      <w:r w:rsidRPr="00D77FEB">
        <w:t>props</w:t>
      </w:r>
    </w:p>
    <w:p w:rsidR="00000000" w:rsidRPr="00D77FEB" w:rsidP="00D77FEB">
      <w:pPr>
        <w:pStyle w:val="ListBullet2"/>
      </w:pPr>
      <w:r w:rsidRPr="00D77FEB">
        <w:t>rigging equipment</w:t>
      </w:r>
    </w:p>
    <w:p w:rsidR="00000000" w:rsidRPr="00D77FEB" w:rsidP="00D77FEB">
      <w:pPr>
        <w:pStyle w:val="ListBullet2"/>
      </w:pPr>
      <w:r w:rsidRPr="00D77FEB">
        <w:t>rigging gear</w:t>
      </w:r>
    </w:p>
    <w:p w:rsidR="00000000" w:rsidRPr="00D77FEB" w:rsidP="00D77FEB">
      <w:pPr>
        <w:pStyle w:val="ListBullet2"/>
      </w:pPr>
      <w:r w:rsidRPr="00D77FEB">
        <w:t>safety net and static lines</w:t>
      </w:r>
    </w:p>
    <w:p w:rsidR="00000000" w:rsidRPr="00D77FEB" w:rsidP="00D77FEB">
      <w:pPr>
        <w:pStyle w:val="ListBullet"/>
      </w:pPr>
      <w:r w:rsidRPr="00D77FEB">
        <w:t>procedures relating to safe tilt-up construction to maintain own safety and that of others.</w:t>
      </w:r>
    </w:p>
    <w:p w:rsidR="00000000" w:rsidRPr="00D77FEB" w:rsidP="00D77FEB">
      <w:pPr>
        <w:pStyle w:val="AllowPageBreak"/>
      </w:pPr>
    </w:p>
    <w:p w:rsidR="00000000" w:rsidRPr="00D77FEB" w:rsidP="00D77FEB">
      <w:pPr>
        <w:pStyle w:val="Heading1"/>
      </w:pPr>
      <w:bookmarkStart w:id="4" w:name="O_1013699"/>
      <w:bookmarkEnd w:id="4"/>
      <w:r w:rsidRPr="00D77FEB">
        <w:t>Assessment Conditions</w:t>
      </w:r>
    </w:p>
    <w:p w:rsidR="00000000" w:rsidRPr="00D77FEB" w:rsidP="002D4094">
      <w:pPr>
        <w:pStyle w:val="BodyText"/>
      </w:pPr>
      <w:r w:rsidRPr="00D77FEB">
        <w:t xml:space="preserve">Assessors must satisfy the requirements for assessors contained in the Standards for Registered Training Organisations. </w:t>
      </w:r>
    </w:p>
    <w:p w:rsidR="00000000" w:rsidRPr="00D77FEB" w:rsidP="002D4094">
      <w:pPr>
        <w:pStyle w:val="BodyText"/>
      </w:pPr>
      <w:r w:rsidRPr="00D77FEB">
        <w:t>Assessment of performance must be undertaken in the workplace or in a simulated workplace environment. Tasks are to be performed to the</w:t>
      </w:r>
      <w:r w:rsidRPr="00D77FEB">
        <w:t xml:space="preserve"> level of proficiency and within the time limits expected in a workplace. </w:t>
      </w:r>
    </w:p>
    <w:p w:rsidR="00000000" w:rsidRPr="00D77FEB" w:rsidP="002D4094">
      <w:pPr>
        <w:pStyle w:val="BodyText"/>
      </w:pPr>
      <w:r w:rsidRPr="00D77FEB">
        <w:t>Assessors are responsible for ensuring that the person demonstrating competency has access to:</w:t>
      </w:r>
    </w:p>
    <w:p w:rsidR="00000000" w:rsidRPr="00D77FEB" w:rsidP="00D77FEB">
      <w:pPr>
        <w:pStyle w:val="ListBullet"/>
      </w:pPr>
      <w:r w:rsidRPr="00D77FEB">
        <w:t>full documentation of jurisdictional requirements for safe tilt-up work.</w:t>
      </w:r>
    </w:p>
    <w:p w:rsidR="00000000" w:rsidRPr="00D77FEB" w:rsidP="00D77FEB">
      <w:pPr>
        <w:pStyle w:val="AllowPageBreak"/>
      </w:pPr>
    </w:p>
    <w:p w:rsidR="00000000" w:rsidRPr="00D77FEB" w:rsidP="00D77FEB">
      <w:pPr>
        <w:pStyle w:val="Heading1"/>
      </w:pPr>
      <w:bookmarkStart w:id="5" w:name="O_1013697"/>
      <w:bookmarkEnd w:id="5"/>
      <w:r w:rsidRPr="00D77FEB">
        <w:t>Links</w:t>
      </w:r>
    </w:p>
    <w:p w:rsidR="00000000" w:rsidRPr="00D77FEB" w:rsidP="002D4094">
      <w:pPr>
        <w:pStyle w:val="BodyText"/>
      </w:pPr>
      <w:r w:rsidRPr="00D77FE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2228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77FEB" w:rsidP="00D77FEB"/>
    <w:sectPr w:rsidSect="00D77F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F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FEB" w:rsidRPr="002D4094" w:rsidP="002D40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F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094" w:rsidP="00D77F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4094" w:rsidP="00D77F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D4094" w:rsidP="00D77F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F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0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7FEB" w:rsidRPr="002D4094" w:rsidP="002D40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F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094" w:rsidRPr="002D2AF8" w:rsidP="00D77F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CPCCCM1016 Identify requirements for safe tilt-up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D4094" w:rsidP="00D77F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0A84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BA01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9871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F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7F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7F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7F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7F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7F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7F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7F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7F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7F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7F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7FEB"/>
  </w:style>
  <w:style w:type="character" w:customStyle="1" w:styleId="Heading1Char">
    <w:name w:val="Heading 1 Char"/>
    <w:basedOn w:val="DefaultParagraphFont"/>
    <w:link w:val="Heading1"/>
    <w:rsid w:val="00D77F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7F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7F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7F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7F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7FEB"/>
    <w:rPr>
      <w:i/>
    </w:rPr>
  </w:style>
  <w:style w:type="paragraph" w:customStyle="1" w:styleId="SuperHeading">
    <w:name w:val="SuperHeading"/>
    <w:basedOn w:val="Normal"/>
    <w:rsid w:val="00D77F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7F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7F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7F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7F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7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7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7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7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7F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7F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7F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7F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7F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7F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7F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7F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7F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7F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7F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7F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7F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7FEB"/>
    <w:rPr>
      <w:b/>
      <w:spacing w:val="0"/>
    </w:rPr>
  </w:style>
  <w:style w:type="paragraph" w:customStyle="1" w:styleId="SuperTitle">
    <w:name w:val="SuperTitle"/>
    <w:basedOn w:val="Title"/>
    <w:rsid w:val="00D77F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7F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7F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7F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7F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7F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7F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7F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7F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7F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7F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7F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7F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7F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7F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7FEB"/>
  </w:style>
  <w:style w:type="paragraph" w:styleId="TableofFigures">
    <w:name w:val="table of figures"/>
    <w:basedOn w:val="Normal"/>
    <w:next w:val="Normal"/>
    <w:semiHidden/>
    <w:rsid w:val="00D77F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7F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7FEB"/>
    <w:rPr>
      <w:rFonts w:ascii="Wingdings" w:hAnsi="Wingdings"/>
    </w:rPr>
  </w:style>
  <w:style w:type="paragraph" w:customStyle="1" w:styleId="TableHeading">
    <w:name w:val="Table Heading"/>
    <w:basedOn w:val="HeadingBase"/>
    <w:rsid w:val="00D77F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7FEB"/>
    <w:rPr>
      <w:color w:val="0033CC"/>
      <w:u w:val="none"/>
    </w:rPr>
  </w:style>
  <w:style w:type="paragraph" w:customStyle="1" w:styleId="BodyTextRight">
    <w:name w:val="Body Text Right"/>
    <w:basedOn w:val="BodyText"/>
    <w:rsid w:val="00D77F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7F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7F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7F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7F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7F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7FEB"/>
    <w:rPr>
      <w:sz w:val="32"/>
    </w:rPr>
  </w:style>
  <w:style w:type="paragraph" w:customStyle="1" w:styleId="HeadingProcedure">
    <w:name w:val="Heading Procedure"/>
    <w:basedOn w:val="HeadingBase"/>
    <w:next w:val="Normal"/>
    <w:rsid w:val="00D77F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7FEB"/>
    <w:pPr>
      <w:spacing w:before="60" w:after="60"/>
    </w:pPr>
  </w:style>
  <w:style w:type="paragraph" w:styleId="ListContinue">
    <w:name w:val="List Continue"/>
    <w:basedOn w:val="List"/>
    <w:rsid w:val="00D77FEB"/>
    <w:pPr>
      <w:ind w:firstLine="0"/>
    </w:pPr>
  </w:style>
  <w:style w:type="paragraph" w:customStyle="1" w:styleId="ListNote">
    <w:name w:val="List Note"/>
    <w:basedOn w:val="List"/>
    <w:rsid w:val="00D77F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7F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7F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7FEB"/>
    <w:rPr>
      <w:rFonts w:ascii="Courier New" w:hAnsi="Courier New"/>
    </w:rPr>
  </w:style>
  <w:style w:type="paragraph" w:customStyle="1" w:styleId="NoteBullet">
    <w:name w:val="Note Bullet"/>
    <w:basedOn w:val="Note"/>
    <w:rsid w:val="00D77F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7F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7F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7F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7F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7F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7F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7FEB"/>
    <w:rPr>
      <w:b/>
      <w:smallCaps/>
    </w:rPr>
  </w:style>
  <w:style w:type="paragraph" w:customStyle="1" w:styleId="TableListNumber">
    <w:name w:val="Table List Number"/>
    <w:basedOn w:val="ListNumber"/>
    <w:rsid w:val="00D77F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7F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7FEB"/>
    <w:pPr>
      <w:numPr>
        <w:numId w:val="9"/>
      </w:numPr>
    </w:pPr>
  </w:style>
  <w:style w:type="paragraph" w:customStyle="1" w:styleId="ListAlpha2">
    <w:name w:val="List Alpha 2"/>
    <w:basedOn w:val="List2"/>
    <w:rsid w:val="00D77FEB"/>
    <w:pPr>
      <w:numPr>
        <w:numId w:val="8"/>
      </w:numPr>
    </w:pPr>
  </w:style>
  <w:style w:type="paragraph" w:styleId="List2">
    <w:name w:val="List 2"/>
    <w:basedOn w:val="BodyText"/>
    <w:rsid w:val="00D77F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7F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7F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7F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7F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7F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7FEB"/>
    <w:pPr>
      <w:numPr>
        <w:numId w:val="4"/>
      </w:numPr>
    </w:pPr>
  </w:style>
  <w:style w:type="paragraph" w:styleId="ListContinue2">
    <w:name w:val="List Continue 2"/>
    <w:basedOn w:val="List2"/>
    <w:rsid w:val="00D77FEB"/>
    <w:pPr>
      <w:ind w:firstLine="0"/>
    </w:pPr>
  </w:style>
  <w:style w:type="paragraph" w:styleId="ListContinue3">
    <w:name w:val="List Continue 3"/>
    <w:basedOn w:val="List3"/>
    <w:rsid w:val="00D77FEB"/>
    <w:pPr>
      <w:ind w:left="1021" w:firstLine="0"/>
    </w:pPr>
  </w:style>
  <w:style w:type="paragraph" w:styleId="ListContinue4">
    <w:name w:val="List Continue 4"/>
    <w:basedOn w:val="List4"/>
    <w:rsid w:val="00D77FEB"/>
    <w:pPr>
      <w:ind w:firstLine="0"/>
    </w:pPr>
  </w:style>
  <w:style w:type="paragraph" w:styleId="ListContinue5">
    <w:name w:val="List Continue 5"/>
    <w:basedOn w:val="List5"/>
    <w:rsid w:val="00D77FEB"/>
    <w:pPr>
      <w:ind w:firstLine="0"/>
    </w:pPr>
  </w:style>
  <w:style w:type="paragraph" w:styleId="ListNumber3">
    <w:name w:val="List Number 3"/>
    <w:basedOn w:val="List3"/>
    <w:rsid w:val="00D77FEB"/>
    <w:pPr>
      <w:numPr>
        <w:numId w:val="5"/>
      </w:numPr>
    </w:pPr>
  </w:style>
  <w:style w:type="paragraph" w:styleId="ListNumber4">
    <w:name w:val="List Number 4"/>
    <w:basedOn w:val="List4"/>
    <w:rsid w:val="00D77FEB"/>
    <w:pPr>
      <w:numPr>
        <w:numId w:val="6"/>
      </w:numPr>
    </w:pPr>
  </w:style>
  <w:style w:type="paragraph" w:styleId="ListNumber5">
    <w:name w:val="List Number 5"/>
    <w:basedOn w:val="List5"/>
    <w:rsid w:val="00D77FEB"/>
    <w:pPr>
      <w:numPr>
        <w:numId w:val="7"/>
      </w:numPr>
    </w:pPr>
  </w:style>
  <w:style w:type="paragraph" w:styleId="BlockText">
    <w:name w:val="Block Text"/>
    <w:basedOn w:val="Normal"/>
    <w:rsid w:val="00D77F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7F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7FEB"/>
    <w:rPr>
      <w:sz w:val="16"/>
      <w:vertAlign w:val="superscript"/>
    </w:rPr>
  </w:style>
  <w:style w:type="character" w:customStyle="1" w:styleId="Symbols">
    <w:name w:val="Symbols"/>
    <w:basedOn w:val="DefaultParagraphFont"/>
    <w:rsid w:val="00D77FEB"/>
    <w:rPr>
      <w:rFonts w:ascii="Symbol" w:hAnsi="Symbol"/>
    </w:rPr>
  </w:style>
  <w:style w:type="character" w:customStyle="1" w:styleId="MenuOptions">
    <w:name w:val="Menu Options"/>
    <w:basedOn w:val="DefaultParagraphFont"/>
    <w:rsid w:val="00D77F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7FEB"/>
    <w:rPr>
      <w:b/>
    </w:rPr>
  </w:style>
  <w:style w:type="character" w:customStyle="1" w:styleId="Underlined">
    <w:name w:val="Underlined"/>
    <w:basedOn w:val="DefaultParagraphFont"/>
    <w:rsid w:val="00D77FEB"/>
    <w:rPr>
      <w:u w:val="single"/>
    </w:rPr>
  </w:style>
  <w:style w:type="paragraph" w:customStyle="1" w:styleId="TableBodyTextRight">
    <w:name w:val="Table Body Text Right"/>
    <w:basedOn w:val="TableBodyText"/>
    <w:rsid w:val="00D77F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7FEB"/>
    <w:rPr>
      <w:sz w:val="18"/>
    </w:rPr>
  </w:style>
  <w:style w:type="paragraph" w:customStyle="1" w:styleId="BodySmallRight">
    <w:name w:val="Body Small Right"/>
    <w:basedOn w:val="BodyTextRight"/>
    <w:rsid w:val="00D77FEB"/>
    <w:rPr>
      <w:sz w:val="18"/>
      <w:szCs w:val="18"/>
    </w:rPr>
  </w:style>
  <w:style w:type="paragraph" w:customStyle="1" w:styleId="MarginEdition">
    <w:name w:val="Margin Edition"/>
    <w:basedOn w:val="MarginNote"/>
    <w:rsid w:val="00D77F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7FEB"/>
    <w:rPr>
      <w:sz w:val="2"/>
      <w:szCs w:val="2"/>
    </w:rPr>
  </w:style>
  <w:style w:type="character" w:customStyle="1" w:styleId="Small">
    <w:name w:val="Small"/>
    <w:basedOn w:val="DefaultParagraphFont"/>
    <w:rsid w:val="00D77FEB"/>
    <w:rPr>
      <w:sz w:val="16"/>
    </w:rPr>
  </w:style>
  <w:style w:type="paragraph" w:customStyle="1" w:styleId="WideTable">
    <w:name w:val="Wide Table"/>
    <w:basedOn w:val="Normal"/>
    <w:rsid w:val="00D77F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7FEB"/>
  </w:style>
  <w:style w:type="paragraph" w:styleId="Quote">
    <w:name w:val="Quote"/>
    <w:basedOn w:val="Heading1"/>
    <w:link w:val="QuoteChar"/>
    <w:qFormat/>
    <w:rsid w:val="00D77F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7F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7FEB"/>
    <w:pPr>
      <w:pageBreakBefore/>
    </w:pPr>
  </w:style>
  <w:style w:type="paragraph" w:customStyle="1" w:styleId="Border">
    <w:name w:val="Border"/>
    <w:basedOn w:val="Normal"/>
    <w:qFormat/>
    <w:rsid w:val="00D77F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7F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F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F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7F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7F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7F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7F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7F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7FEB"/>
    <w:rPr>
      <w:u w:val="single"/>
    </w:rPr>
  </w:style>
  <w:style w:type="character" w:customStyle="1" w:styleId="BoldandItalics">
    <w:name w:val="Bold and Italics"/>
    <w:qFormat/>
    <w:rsid w:val="00D77FEB"/>
    <w:rPr>
      <w:b/>
      <w:i/>
      <w:u w:val="none"/>
    </w:rPr>
  </w:style>
  <w:style w:type="paragraph" w:styleId="BalloonText">
    <w:name w:val="Balloon Text"/>
    <w:basedOn w:val="Normal"/>
    <w:link w:val="BalloonTextChar"/>
    <w:rsid w:val="00D77F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F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7F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7F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7F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7F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7FEB"/>
    <w:pPr>
      <w:spacing w:before="0" w:after="0"/>
    </w:pPr>
  </w:style>
  <w:style w:type="paragraph" w:customStyle="1" w:styleId="BodyTextBold">
    <w:name w:val="Body Text Bold"/>
    <w:basedOn w:val="BodyText"/>
    <w:qFormat/>
    <w:rsid w:val="00D77FEB"/>
    <w:rPr>
      <w:b/>
    </w:rPr>
  </w:style>
  <w:style w:type="character" w:styleId="Hyperlink">
    <w:name w:val="Hyperlink"/>
    <w:basedOn w:val="DefaultParagraphFont"/>
    <w:uiPriority w:val="99"/>
    <w:unhideWhenUsed/>
    <w:rsid w:val="002D40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2671</Characters>
  <Application>Microsoft Office Word</Application>
  <DocSecurity>0</DocSecurity>
  <Lines>72</Lines>
  <Paragraphs>54</Paragraphs>
  <ScaleCrop>false</ScaleCrop>
  <Company>Author-it Software Corporation Ltd.</Company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CPCCCM1016 Identify requirements for safe tilt-up work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2023-02-03T05:46:00Z</dcterms:created>
  <dcterms:modified xsi:type="dcterms:W3CDTF">2023-02-03T05:46:00Z</dcterms:modified>
</cp:coreProperties>
</file>