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C39" w:rsidP="002D5C39">
      <w:pPr>
        <w:pStyle w:val="Title"/>
      </w:pPr>
      <w:r>
        <w:fldChar w:fldCharType="begin"/>
      </w:r>
      <w:r>
        <w:instrText xml:space="preserve"> TITLE   \* MERGEFORMAT </w:instrText>
      </w:r>
      <w:r>
        <w:fldChar w:fldCharType="separate"/>
      </w:r>
      <w:r>
        <w:t>CPCCCA3026 Assemble partitions</w:t>
      </w:r>
      <w:r>
        <w:fldChar w:fldCharType="end"/>
      </w:r>
    </w:p>
    <w:p w:rsidR="002D5C39" w:rsidP="002D5C39">
      <w:pPr>
        <w:pStyle w:val="Version"/>
        <w:sectPr w:rsidSect="00C006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067D" w:rsidP="00C0067D">
      <w:pPr>
        <w:pStyle w:val="SuperHeading"/>
      </w:pPr>
      <w:r w:rsidRPr="00C0067D">
        <w:t>CPCCCA3026 Assemble partitions</w:t>
      </w:r>
    </w:p>
    <w:p w:rsidR="00000000" w:rsidRPr="00C0067D" w:rsidP="00C0067D">
      <w:pPr>
        <w:pStyle w:val="Heading1"/>
      </w:pPr>
      <w:bookmarkStart w:id="1" w:name="O_1295378"/>
      <w:bookmarkEnd w:id="1"/>
      <w:r w:rsidRPr="00C0067D">
        <w:t>Modification History</w:t>
      </w:r>
    </w:p>
    <w:tbl>
      <w:tblPr>
        <w:tblW w:w="0" w:type="auto"/>
        <w:tblLayout w:type="fixed"/>
        <w:tblCellMar>
          <w:left w:w="62" w:type="dxa"/>
          <w:right w:w="62" w:type="dxa"/>
        </w:tblCellMar>
        <w:tblLook w:val="0000"/>
      </w:tblPr>
      <w:tblGrid>
        <w:gridCol w:w="1128"/>
        <w:gridCol w:w="7944"/>
      </w:tblGrid>
      <w:tr w:rsidTr="00C0067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Release 2</w:t>
            </w:r>
          </w:p>
        </w:tc>
        <w:tc>
          <w:tcPr>
            <w:tcW w:w="794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Updated reference to general construction induction training program.</w:t>
            </w:r>
          </w:p>
        </w:tc>
      </w:tr>
      <w:tr w:rsidTr="00C0067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Release 1</w:t>
            </w:r>
          </w:p>
        </w:tc>
        <w:tc>
          <w:tcPr>
            <w:tcW w:w="7944" w:type="dxa"/>
            <w:tcBorders>
              <w:top w:val="nil"/>
              <w:left w:val="nil"/>
              <w:bottom w:val="nil"/>
              <w:right w:val="nil"/>
            </w:tcBorders>
            <w:tcMar>
              <w:top w:w="0" w:type="dxa"/>
              <w:left w:w="62" w:type="dxa"/>
              <w:bottom w:w="0" w:type="dxa"/>
              <w:right w:w="62" w:type="dxa"/>
            </w:tcMar>
          </w:tcPr>
          <w:p w:rsidR="00000000" w:rsidRPr="00C0067D" w:rsidP="00C0067D">
            <w:pPr>
              <w:pStyle w:val="BodyText"/>
            </w:pPr>
            <w:r w:rsidRPr="00C0067D">
              <w:t>This version first released with CPC Construction, Plumbing and Services Training Package Release 5.0.</w:t>
            </w:r>
          </w:p>
          <w:p w:rsidR="00000000" w:rsidRPr="00C0067D" w:rsidP="00C0067D">
            <w:pPr>
              <w:pStyle w:val="BodyText"/>
            </w:pPr>
            <w:r w:rsidRPr="00C0067D">
              <w:t>New unit</w:t>
            </w:r>
          </w:p>
        </w:tc>
      </w:tr>
    </w:tbl>
    <w:p w:rsidR="00000000" w:rsidRPr="00C0067D" w:rsidP="00C0067D">
      <w:pPr>
        <w:pStyle w:val="BodyText"/>
      </w:pPr>
    </w:p>
    <w:p w:rsidR="00000000" w:rsidRPr="00C0067D" w:rsidP="00C0067D">
      <w:pPr>
        <w:pStyle w:val="AllowPageBreak"/>
      </w:pPr>
    </w:p>
    <w:p w:rsidR="00000000" w:rsidRPr="00C0067D" w:rsidP="00C0067D">
      <w:pPr>
        <w:pStyle w:val="Heading1"/>
      </w:pPr>
      <w:bookmarkStart w:id="2" w:name="O_1295377"/>
      <w:bookmarkEnd w:id="2"/>
      <w:r w:rsidRPr="00C0067D">
        <w:t>Application</w:t>
      </w:r>
    </w:p>
    <w:p w:rsidR="00000000" w:rsidRPr="00C0067D" w:rsidP="002D5C39">
      <w:pPr>
        <w:pStyle w:val="BodyText"/>
      </w:pPr>
      <w:r w:rsidRPr="00C0067D">
        <w:t>This unit of competency specifies the skills and knowledge required to set out and assemble partitions for the purpose of dividing areas into useable spaces, meeting all relevant requirements of national construction codes, Australian Standards, work heal</w:t>
      </w:r>
      <w:r w:rsidRPr="00C0067D">
        <w:t xml:space="preserve">th and safety (WHS), and Commonwealth and state or territory legislation. </w:t>
      </w:r>
    </w:p>
    <w:p w:rsidR="00000000" w:rsidRPr="00C0067D" w:rsidP="002D5C39">
      <w:pPr>
        <w:pStyle w:val="BodyText"/>
      </w:pPr>
      <w:r w:rsidRPr="00C0067D">
        <w:t>It includes prefabricated and demountable partitions constructed of timber or metal.</w:t>
      </w:r>
    </w:p>
    <w:p w:rsidR="00000000" w:rsidRPr="00C0067D" w:rsidP="002D5C39">
      <w:pPr>
        <w:pStyle w:val="BodyText"/>
      </w:pPr>
      <w:r w:rsidRPr="00C0067D">
        <w:t>Completion of the general construction induction training program specified by the model Code of</w:t>
      </w:r>
      <w:r w:rsidRPr="00C0067D">
        <w:t xml:space="preserve"> Practice for Construction Work is required for any person who is to carry out construction work. Achievement of </w:t>
      </w:r>
      <w:r w:rsidRPr="00C0067D">
        <w:rPr>
          <w:rStyle w:val="Emphasis"/>
        </w:rPr>
        <w:t>CPCWHS1001</w:t>
      </w:r>
      <w:r w:rsidRPr="00C0067D">
        <w:t xml:space="preserve"> </w:t>
      </w:r>
      <w:r w:rsidRPr="00C0067D">
        <w:rPr>
          <w:rStyle w:val="Emphasis"/>
        </w:rPr>
        <w:t>Prepare to work safely in the construction industry</w:t>
      </w:r>
      <w:r w:rsidRPr="00C0067D">
        <w:t xml:space="preserve"> meets this requirement.</w:t>
      </w:r>
    </w:p>
    <w:p w:rsidR="00000000" w:rsidRPr="00C0067D" w:rsidP="002D5C39">
      <w:pPr>
        <w:pStyle w:val="BodyText"/>
      </w:pPr>
      <w:r w:rsidRPr="00C0067D">
        <w:t xml:space="preserve">No licensing, legislative or certification requirements </w:t>
      </w:r>
      <w:r w:rsidRPr="00C0067D">
        <w:t>apply to this unit at the time of publication.</w:t>
      </w:r>
    </w:p>
    <w:p w:rsidR="00000000" w:rsidRPr="00C0067D" w:rsidP="00C0067D">
      <w:pPr>
        <w:pStyle w:val="Heading1"/>
      </w:pPr>
      <w:bookmarkStart w:id="3" w:name="O_1295376"/>
      <w:bookmarkEnd w:id="3"/>
      <w:r w:rsidRPr="00C0067D">
        <w:t>Pre-requisite Unit</w:t>
      </w:r>
    </w:p>
    <w:p w:rsidR="00000000" w:rsidRPr="00C0067D" w:rsidP="002D5C39">
      <w:pPr>
        <w:pStyle w:val="BodyText"/>
      </w:pPr>
      <w:r w:rsidRPr="00C0067D">
        <w:t>CPCCWHS2001 Apply WHS requirements, policies and procedures in the construction industry</w:t>
      </w:r>
    </w:p>
    <w:p w:rsidR="00000000" w:rsidRPr="00C0067D" w:rsidP="00C0067D">
      <w:pPr>
        <w:pStyle w:val="Heading1"/>
      </w:pPr>
      <w:bookmarkStart w:id="4" w:name="O_1295375"/>
      <w:bookmarkEnd w:id="4"/>
      <w:r w:rsidRPr="00C0067D">
        <w:t>Unit Sector</w:t>
      </w:r>
    </w:p>
    <w:p w:rsidR="00000000" w:rsidRPr="00C0067D" w:rsidP="002D5C39">
      <w:pPr>
        <w:pStyle w:val="BodyText"/>
      </w:pPr>
      <w:r w:rsidRPr="00C0067D">
        <w:t>Carpentry and Joinery</w:t>
      </w:r>
    </w:p>
    <w:p w:rsidR="00000000" w:rsidRPr="00C0067D" w:rsidP="00C0067D">
      <w:pPr>
        <w:pStyle w:val="Heading1"/>
      </w:pPr>
      <w:bookmarkStart w:id="5" w:name="O_1295374"/>
      <w:bookmarkEnd w:id="5"/>
      <w:r w:rsidRPr="00C0067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0067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Performance criteria describe what needs to be done to demonstrate achievement of the element.</w:t>
            </w:r>
          </w:p>
        </w:tc>
      </w:tr>
      <w:tr w:rsidTr="00C006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1</w:t>
            </w:r>
          </w:p>
        </w:tc>
        <w:tc>
          <w:tcPr>
            <w:tcW w:w="2357" w:type="dxa"/>
            <w:vMerge w:val="restart"/>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Plan and prepare.</w:t>
            </w: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1.1</w:t>
            </w:r>
          </w:p>
        </w:tc>
        <w:tc>
          <w:tcPr>
            <w:tcW w:w="5659"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 xml:space="preserve">Read and interpret work instructions and plan sequence of </w:t>
            </w:r>
            <w:r w:rsidRPr="00C0067D">
              <w:t>work.</w:t>
            </w:r>
          </w:p>
        </w:tc>
      </w:tr>
      <w:tr w:rsidTr="00C006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1.2</w:t>
            </w:r>
          </w:p>
        </w:tc>
        <w:tc>
          <w:tcPr>
            <w:tcW w:w="5659"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Plan all work to comply with laws and regulations, national construction codes, Australian Standards, work health and safety (WHS) and environmental requirements, manufacturers’</w:t>
            </w:r>
            <w:r w:rsidRPr="00C0067D">
              <w:t xml:space="preserve"> specifications, workplace requirements, drawings and specifications.</w:t>
            </w:r>
          </w:p>
        </w:tc>
      </w:tr>
      <w:tr w:rsidTr="00C006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1.3</w:t>
            </w:r>
          </w:p>
        </w:tc>
        <w:tc>
          <w:tcPr>
            <w:tcW w:w="5659"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Select tools and equipment, check for serviceability and report any faults.</w:t>
            </w:r>
          </w:p>
        </w:tc>
      </w:tr>
      <w:tr w:rsidTr="00C006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1.4</w:t>
            </w:r>
          </w:p>
        </w:tc>
        <w:tc>
          <w:tcPr>
            <w:tcW w:w="5659"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Select and use personal protective equipment (PPE) for each part of the task.</w:t>
            </w:r>
          </w:p>
        </w:tc>
      </w:tr>
      <w:tr w:rsidTr="00C006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1.5</w:t>
            </w:r>
          </w:p>
        </w:tc>
        <w:tc>
          <w:tcPr>
            <w:tcW w:w="5659"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Inspect work site, locate services, assess hazards and apply risk controls, including required signage and barricades.</w:t>
            </w:r>
          </w:p>
        </w:tc>
      </w:tr>
      <w:tr w:rsidTr="00C006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1.6</w:t>
            </w:r>
          </w:p>
        </w:tc>
        <w:tc>
          <w:tcPr>
            <w:tcW w:w="5659"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Select materials required for task, calculate quantities, handle safely and prepare and position ready for use.</w:t>
            </w:r>
          </w:p>
        </w:tc>
      </w:tr>
      <w:tr w:rsidTr="00C006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067D">
            <w:pPr>
              <w:pStyle w:val="BodyText"/>
              <w:rPr>
                <w:lang w:val="en-NZ"/>
              </w:rPr>
            </w:pPr>
          </w:p>
        </w:tc>
      </w:tr>
      <w:tr w:rsidTr="00C006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2</w:t>
            </w:r>
          </w:p>
        </w:tc>
        <w:tc>
          <w:tcPr>
            <w:tcW w:w="2357" w:type="dxa"/>
            <w:vMerge w:val="restart"/>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Set out and cut components.</w:t>
            </w: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2.1</w:t>
            </w:r>
          </w:p>
        </w:tc>
        <w:tc>
          <w:tcPr>
            <w:tcW w:w="5659"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Set out and mark location for partitions.</w:t>
            </w:r>
          </w:p>
        </w:tc>
      </w:tr>
      <w:tr w:rsidTr="00C006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2.2</w:t>
            </w:r>
          </w:p>
        </w:tc>
        <w:tc>
          <w:tcPr>
            <w:tcW w:w="5659"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Cut components to size.</w:t>
            </w:r>
          </w:p>
        </w:tc>
      </w:tr>
      <w:tr w:rsidTr="00C006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2.3</w:t>
            </w:r>
          </w:p>
        </w:tc>
        <w:tc>
          <w:tcPr>
            <w:tcW w:w="5659"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Distribute prefabricated or cut components and stack to suit job location and sequence of construction.</w:t>
            </w:r>
          </w:p>
        </w:tc>
      </w:tr>
      <w:tr w:rsidTr="00C006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067D">
            <w:pPr>
              <w:pStyle w:val="BodyText"/>
              <w:rPr>
                <w:lang w:val="en-NZ"/>
              </w:rPr>
            </w:pPr>
          </w:p>
        </w:tc>
      </w:tr>
      <w:tr w:rsidTr="00C006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3</w:t>
            </w:r>
          </w:p>
        </w:tc>
        <w:tc>
          <w:tcPr>
            <w:tcW w:w="2357" w:type="dxa"/>
            <w:vMerge w:val="restart"/>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Assemble partitions.</w:t>
            </w: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3.1</w:t>
            </w:r>
          </w:p>
        </w:tc>
        <w:tc>
          <w:tcPr>
            <w:tcW w:w="5659"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Mark and prepare locations for member connections to designed spacings.</w:t>
            </w:r>
          </w:p>
        </w:tc>
      </w:tr>
      <w:tr w:rsidTr="00C006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3.2</w:t>
            </w:r>
          </w:p>
        </w:tc>
        <w:tc>
          <w:tcPr>
            <w:tcW w:w="5659"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Install fixing and fastenings to secure each junction of members tight together, flush on partition face and within ±2mm of set out.</w:t>
            </w:r>
          </w:p>
        </w:tc>
      </w:tr>
      <w:tr w:rsidTr="00C006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3.3</w:t>
            </w:r>
          </w:p>
        </w:tc>
        <w:tc>
          <w:tcPr>
            <w:tcW w:w="5659"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Assemble partitions and secure square and plumb to specification.</w:t>
            </w:r>
          </w:p>
        </w:tc>
      </w:tr>
      <w:tr w:rsidTr="00C006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067D">
            <w:pPr>
              <w:pStyle w:val="BodyText"/>
              <w:rPr>
                <w:lang w:val="en-NZ"/>
              </w:rPr>
            </w:pPr>
          </w:p>
        </w:tc>
      </w:tr>
      <w:tr w:rsidTr="00C006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4</w:t>
            </w:r>
          </w:p>
        </w:tc>
        <w:tc>
          <w:tcPr>
            <w:tcW w:w="2357" w:type="dxa"/>
            <w:vMerge w:val="restart"/>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Clean up</w:t>
            </w: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4.1</w:t>
            </w:r>
          </w:p>
        </w:tc>
        <w:tc>
          <w:tcPr>
            <w:tcW w:w="5659"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Clean up, meeting all legislative and workplace requirements for safety, waste disposal and materials handling.</w:t>
            </w:r>
          </w:p>
        </w:tc>
      </w:tr>
      <w:tr w:rsidTr="00C006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4.2</w:t>
            </w:r>
          </w:p>
        </w:tc>
        <w:tc>
          <w:tcPr>
            <w:tcW w:w="5659" w:type="dxa"/>
            <w:tcBorders>
              <w:top w:val="nil"/>
              <w:left w:val="nil"/>
              <w:bottom w:val="nil"/>
              <w:right w:val="nil"/>
            </w:tcBorders>
            <w:tcMar>
              <w:top w:w="0" w:type="dxa"/>
              <w:left w:w="62" w:type="dxa"/>
              <w:bottom w:w="0" w:type="dxa"/>
              <w:right w:w="62" w:type="dxa"/>
            </w:tcMar>
          </w:tcPr>
          <w:p w:rsidR="00000000" w:rsidRPr="00C0067D" w:rsidP="00C0067D">
            <w:pPr>
              <w:pStyle w:val="BodyText"/>
            </w:pPr>
            <w:r w:rsidRPr="00C0067D">
              <w:t>Check, maintain and store tools and equipment and report any faults.</w:t>
            </w:r>
          </w:p>
        </w:tc>
      </w:tr>
    </w:tbl>
    <w:p w:rsidR="00000000" w:rsidRPr="00C0067D" w:rsidP="00C0067D">
      <w:pPr>
        <w:pStyle w:val="BodyText"/>
      </w:pPr>
    </w:p>
    <w:p w:rsidR="00000000" w:rsidRPr="00C0067D" w:rsidP="00C0067D">
      <w:pPr>
        <w:pStyle w:val="AllowPageBreak"/>
      </w:pPr>
    </w:p>
    <w:p w:rsidR="00000000" w:rsidRPr="00C0067D" w:rsidP="00C0067D">
      <w:pPr>
        <w:pStyle w:val="Heading1"/>
      </w:pPr>
      <w:bookmarkStart w:id="6" w:name="O_1295373"/>
      <w:bookmarkEnd w:id="6"/>
      <w:r w:rsidRPr="00C0067D">
        <w:t>Foundation Skills</w:t>
      </w:r>
    </w:p>
    <w:p w:rsidR="00000000" w:rsidRPr="00C0067D" w:rsidP="002D5C39">
      <w:pPr>
        <w:pStyle w:val="BodyText"/>
      </w:pPr>
      <w:r w:rsidRPr="00C0067D">
        <w:t xml:space="preserve">Foundation skills essential to performance are explicit in the performance criteria of this unit of competency. </w:t>
      </w:r>
    </w:p>
    <w:p w:rsidR="00000000" w:rsidRPr="00C0067D" w:rsidP="00C0067D">
      <w:pPr>
        <w:pStyle w:val="Heading1"/>
      </w:pPr>
      <w:bookmarkStart w:id="7" w:name="O_1295372"/>
      <w:bookmarkEnd w:id="7"/>
      <w:r w:rsidRPr="00C0067D">
        <w:t>Unit Mapping Information</w:t>
      </w:r>
    </w:p>
    <w:p w:rsidR="00000000" w:rsidRPr="00C0067D" w:rsidP="002D5C39">
      <w:pPr>
        <w:pStyle w:val="BodyText"/>
      </w:pPr>
      <w:r w:rsidRPr="00C0067D">
        <w:t>No equivalent unit.</w:t>
      </w:r>
    </w:p>
    <w:p w:rsidR="00000000" w:rsidRPr="00C0067D" w:rsidP="00C0067D">
      <w:pPr>
        <w:pStyle w:val="Heading1"/>
      </w:pPr>
      <w:bookmarkStart w:id="8" w:name="O_1295379"/>
      <w:bookmarkEnd w:id="8"/>
      <w:r w:rsidRPr="00C0067D">
        <w:t>Links</w:t>
      </w:r>
    </w:p>
    <w:p w:rsidR="00000000" w:rsidRPr="00C0067D" w:rsidP="002D5C39">
      <w:pPr>
        <w:pStyle w:val="BodyText"/>
      </w:pPr>
      <w:r w:rsidRPr="00C0067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E6B62">
        <w:rPr>
          <w:rStyle w:val="Hyperlink"/>
        </w:rPr>
        <w:t>https://vetnet.gov.au/Pages/TrainingDocs.aspx?q=7e15fa6a-68b8-4097-b099-030a5569b1ad</w:t>
      </w:r>
      <w:r>
        <w:fldChar w:fldCharType="end"/>
      </w:r>
    </w:p>
    <w:p w:rsidR="00000000" w:rsidRPr="00C0067D" w:rsidP="002D5C39">
      <w:pPr>
        <w:pStyle w:val="BodyText"/>
        <w:sectPr w:rsidSect="00C0067D">
          <w:headerReference w:type="default" r:id="rId10"/>
          <w:footerReference w:type="default" r:id="rId11"/>
          <w:pgSz w:w="11908" w:h="16833"/>
          <w:pgMar w:top="1702" w:right="1418" w:bottom="1702" w:left="1418" w:header="992" w:footer="992" w:gutter="0"/>
          <w:cols w:space="720"/>
          <w:noEndnote/>
          <w:docGrid w:linePitch="299"/>
        </w:sectPr>
      </w:pPr>
    </w:p>
    <w:p w:rsidR="00000000" w:rsidRPr="00C0067D" w:rsidP="00C0067D">
      <w:pPr>
        <w:pStyle w:val="SuperHeading"/>
      </w:pPr>
      <w:r w:rsidRPr="00C0067D">
        <w:t>Assessment Requirements for CPCCCA3026 Assemble partitions</w:t>
      </w:r>
    </w:p>
    <w:p w:rsidR="00000000" w:rsidRPr="00C0067D" w:rsidP="00C0067D">
      <w:pPr>
        <w:pStyle w:val="Heading1"/>
      </w:pPr>
      <w:bookmarkStart w:id="9" w:name="O_1295370"/>
      <w:bookmarkEnd w:id="9"/>
      <w:r w:rsidRPr="00C0067D">
        <w:t>Modification History</w:t>
      </w:r>
    </w:p>
    <w:tbl>
      <w:tblPr>
        <w:tblW w:w="0" w:type="auto"/>
        <w:tblLayout w:type="fixed"/>
        <w:tblCellMar>
          <w:left w:w="62" w:type="dxa"/>
          <w:right w:w="62" w:type="dxa"/>
        </w:tblCellMar>
        <w:tblLook w:val="0000"/>
      </w:tblPr>
      <w:tblGrid>
        <w:gridCol w:w="1128"/>
        <w:gridCol w:w="7944"/>
      </w:tblGrid>
      <w:tr w:rsidTr="00C0067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Release 2</w:t>
            </w:r>
          </w:p>
        </w:tc>
        <w:tc>
          <w:tcPr>
            <w:tcW w:w="7944"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Updated reference to general construction induction training program.</w:t>
            </w:r>
          </w:p>
        </w:tc>
      </w:tr>
      <w:tr w:rsidTr="00C0067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067D">
            <w:pPr>
              <w:pStyle w:val="BodyText"/>
              <w:rPr>
                <w:lang w:val="en-NZ"/>
              </w:rPr>
            </w:pPr>
            <w:r w:rsidRPr="00C0067D">
              <w:t>Release 1</w:t>
            </w:r>
          </w:p>
        </w:tc>
        <w:tc>
          <w:tcPr>
            <w:tcW w:w="7944" w:type="dxa"/>
            <w:tcBorders>
              <w:top w:val="nil"/>
              <w:left w:val="nil"/>
              <w:bottom w:val="nil"/>
              <w:right w:val="nil"/>
            </w:tcBorders>
            <w:tcMar>
              <w:top w:w="0" w:type="dxa"/>
              <w:left w:w="62" w:type="dxa"/>
              <w:bottom w:w="0" w:type="dxa"/>
              <w:right w:w="62" w:type="dxa"/>
            </w:tcMar>
          </w:tcPr>
          <w:p w:rsidR="00000000" w:rsidRPr="00C0067D" w:rsidP="00C0067D">
            <w:pPr>
              <w:pStyle w:val="BodyText"/>
            </w:pPr>
            <w:r w:rsidRPr="00C0067D">
              <w:t>This version first released with CPC Construction, Plumbing and Services Training Package Release 5.0.</w:t>
            </w:r>
          </w:p>
          <w:p w:rsidR="00000000" w:rsidRPr="00C0067D" w:rsidP="00C0067D">
            <w:pPr>
              <w:pStyle w:val="BodyText"/>
            </w:pPr>
            <w:r w:rsidRPr="00C0067D">
              <w:t>New unit</w:t>
            </w:r>
          </w:p>
        </w:tc>
      </w:tr>
    </w:tbl>
    <w:p w:rsidR="00000000" w:rsidRPr="00C0067D" w:rsidP="00C0067D">
      <w:pPr>
        <w:pStyle w:val="BodyText"/>
      </w:pPr>
    </w:p>
    <w:p w:rsidR="00000000" w:rsidRPr="00C0067D" w:rsidP="00C0067D">
      <w:pPr>
        <w:pStyle w:val="AllowPageBreak"/>
      </w:pPr>
    </w:p>
    <w:p w:rsidR="00000000" w:rsidRPr="00C0067D" w:rsidP="00C0067D">
      <w:pPr>
        <w:pStyle w:val="Heading1"/>
      </w:pPr>
      <w:bookmarkStart w:id="10" w:name="O_1295369"/>
      <w:bookmarkEnd w:id="10"/>
      <w:r w:rsidRPr="00C0067D">
        <w:t>Performance Evidence</w:t>
      </w:r>
    </w:p>
    <w:p w:rsidR="00000000" w:rsidRPr="00C0067D" w:rsidP="002D5C39">
      <w:pPr>
        <w:pStyle w:val="BodyText"/>
      </w:pPr>
      <w:r w:rsidRPr="00C0067D">
        <w:t>To demonstrate competency, a candidate must meet the performance criteria of this unit by setting out,</w:t>
      </w:r>
      <w:r w:rsidRPr="00C0067D">
        <w:t xml:space="preserve"> cutting and assembling partitions a minimum of 4.8 metres in length and 1.8 metres in height, including:</w:t>
      </w:r>
    </w:p>
    <w:p w:rsidR="00000000" w:rsidRPr="00C0067D" w:rsidP="00C0067D">
      <w:pPr>
        <w:pStyle w:val="ListBullet"/>
      </w:pPr>
      <w:r w:rsidRPr="00C0067D">
        <w:t>an L shape intersection</w:t>
      </w:r>
    </w:p>
    <w:p w:rsidR="00000000" w:rsidRPr="00C0067D" w:rsidP="00C0067D">
      <w:pPr>
        <w:pStyle w:val="ListBullet"/>
      </w:pPr>
      <w:r w:rsidRPr="00C0067D">
        <w:t>a T intersection</w:t>
      </w:r>
    </w:p>
    <w:p w:rsidR="00000000" w:rsidRPr="00C0067D" w:rsidP="00C0067D">
      <w:pPr>
        <w:pStyle w:val="ListBullet"/>
      </w:pPr>
      <w:r w:rsidRPr="00C0067D">
        <w:t>a window and door panel.</w:t>
      </w:r>
    </w:p>
    <w:p w:rsidR="00000000" w:rsidRPr="00C0067D" w:rsidP="00C0067D">
      <w:pPr>
        <w:pStyle w:val="AllowPageBreak"/>
      </w:pPr>
    </w:p>
    <w:p w:rsidR="00000000" w:rsidRPr="00C0067D" w:rsidP="00C0067D">
      <w:pPr>
        <w:pStyle w:val="Heading1"/>
      </w:pPr>
      <w:bookmarkStart w:id="11" w:name="O_1295368"/>
      <w:bookmarkEnd w:id="11"/>
      <w:r w:rsidRPr="00C0067D">
        <w:t>Knowledge Evidence</w:t>
      </w:r>
    </w:p>
    <w:p w:rsidR="00000000" w:rsidRPr="00C0067D" w:rsidP="002D5C39">
      <w:pPr>
        <w:pStyle w:val="BodyText"/>
      </w:pPr>
      <w:r w:rsidRPr="00C0067D">
        <w:t>To be competent in this unit, a candidate must demonstrate knowledge of:</w:t>
      </w:r>
    </w:p>
    <w:p w:rsidR="00000000" w:rsidRPr="00C0067D" w:rsidP="00C0067D">
      <w:pPr>
        <w:pStyle w:val="ListBullet"/>
      </w:pPr>
      <w:r w:rsidRPr="00C0067D">
        <w:t xml:space="preserve">compliance requirements of national construction codes and Australian Standards relevant to assembling partitions </w:t>
      </w:r>
    </w:p>
    <w:p w:rsidR="00000000" w:rsidRPr="00C0067D" w:rsidP="00C0067D">
      <w:pPr>
        <w:pStyle w:val="ListBullet"/>
      </w:pPr>
      <w:r w:rsidRPr="00C0067D">
        <w:t>workplace quality policies and standards relevant to assembling par</w:t>
      </w:r>
      <w:r w:rsidRPr="00C0067D">
        <w:t>titions</w:t>
      </w:r>
    </w:p>
    <w:p w:rsidR="00000000" w:rsidRPr="00C0067D" w:rsidP="00C0067D">
      <w:pPr>
        <w:pStyle w:val="ListBullet"/>
      </w:pPr>
      <w:r w:rsidRPr="00C0067D">
        <w:t>safety requirements for assembling partitions</w:t>
      </w:r>
    </w:p>
    <w:p w:rsidR="00000000" w:rsidRPr="00C0067D" w:rsidP="00C0067D">
      <w:pPr>
        <w:pStyle w:val="ListBullet"/>
      </w:pPr>
      <w:r w:rsidRPr="00C0067D">
        <w:t xml:space="preserve">types and uses of tools and equipment required for assembling partitions </w:t>
      </w:r>
    </w:p>
    <w:p w:rsidR="00000000" w:rsidRPr="00C0067D" w:rsidP="00C0067D">
      <w:pPr>
        <w:pStyle w:val="ListBullet"/>
      </w:pPr>
      <w:r w:rsidRPr="00C0067D">
        <w:t>processes for assembling partitions for:</w:t>
      </w:r>
    </w:p>
    <w:p w:rsidR="00000000" w:rsidRPr="00C0067D" w:rsidP="00C0067D">
      <w:pPr>
        <w:pStyle w:val="ListBullet2"/>
      </w:pPr>
      <w:r w:rsidRPr="00C0067D">
        <w:t>pre-glazed panels</w:t>
      </w:r>
    </w:p>
    <w:p w:rsidR="00000000" w:rsidRPr="00C0067D" w:rsidP="00C0067D">
      <w:pPr>
        <w:pStyle w:val="ListBullet2"/>
      </w:pPr>
      <w:r w:rsidRPr="00C0067D">
        <w:t>lined or unlined door units</w:t>
      </w:r>
    </w:p>
    <w:p w:rsidR="00000000" w:rsidRPr="00C0067D" w:rsidP="00C0067D">
      <w:pPr>
        <w:pStyle w:val="ListBullet2"/>
      </w:pPr>
      <w:r w:rsidRPr="00C0067D">
        <w:t>modular and custom window units</w:t>
      </w:r>
    </w:p>
    <w:p w:rsidR="00000000" w:rsidRPr="00C0067D" w:rsidP="00C0067D">
      <w:pPr>
        <w:pStyle w:val="ListBullet2"/>
      </w:pPr>
      <w:r w:rsidRPr="00C0067D">
        <w:t>framed o</w:t>
      </w:r>
      <w:r w:rsidRPr="00C0067D">
        <w:t>r solid</w:t>
      </w:r>
    </w:p>
    <w:p w:rsidR="00000000" w:rsidRPr="00C0067D" w:rsidP="00C0067D">
      <w:pPr>
        <w:pStyle w:val="ListBullet"/>
      </w:pPr>
      <w:r w:rsidRPr="00C0067D">
        <w:t>fixing and fasteners for assembling partitions</w:t>
      </w:r>
    </w:p>
    <w:p w:rsidR="00000000" w:rsidRPr="00C0067D" w:rsidP="00C0067D">
      <w:pPr>
        <w:pStyle w:val="ListBullet"/>
      </w:pPr>
      <w:r w:rsidRPr="00C0067D">
        <w:t>partition assembly techniques</w:t>
      </w:r>
    </w:p>
    <w:p w:rsidR="00000000" w:rsidRPr="00C0067D" w:rsidP="00C0067D">
      <w:pPr>
        <w:pStyle w:val="ListBullet"/>
      </w:pPr>
      <w:r w:rsidRPr="00C0067D">
        <w:t>partitioning materials and manufacturers’ instructions</w:t>
      </w:r>
    </w:p>
    <w:p w:rsidR="00000000" w:rsidRPr="00C0067D" w:rsidP="00C0067D">
      <w:pPr>
        <w:pStyle w:val="ListBullet"/>
      </w:pPr>
      <w:r w:rsidRPr="00C0067D">
        <w:t>plans, specifications and drawings for partitions</w:t>
      </w:r>
    </w:p>
    <w:p w:rsidR="00000000" w:rsidRPr="00C0067D" w:rsidP="00C0067D">
      <w:pPr>
        <w:pStyle w:val="ListBullet"/>
      </w:pPr>
      <w:r w:rsidRPr="00C0067D">
        <w:t>processes for setting out for assembling partitions.</w:t>
      </w:r>
    </w:p>
    <w:p w:rsidR="00000000" w:rsidRPr="00C0067D" w:rsidP="00C0067D">
      <w:pPr>
        <w:pStyle w:val="AllowPageBreak"/>
      </w:pPr>
    </w:p>
    <w:p w:rsidR="00000000" w:rsidRPr="00C0067D" w:rsidP="00C0067D">
      <w:pPr>
        <w:pStyle w:val="Heading1"/>
      </w:pPr>
      <w:bookmarkStart w:id="12" w:name="O_1295367"/>
      <w:bookmarkEnd w:id="12"/>
      <w:r w:rsidRPr="00C0067D">
        <w:t>Assessment Conditions</w:t>
      </w:r>
    </w:p>
    <w:p w:rsidR="00000000" w:rsidRPr="00C0067D" w:rsidP="002D5C39">
      <w:pPr>
        <w:pStyle w:val="BodyText"/>
      </w:pPr>
      <w:r w:rsidRPr="00C0067D">
        <w:t xml:space="preserve">Assessors must meet the requirements for assessors contained in the Standards for Registered Training Organisations. </w:t>
      </w:r>
    </w:p>
    <w:p w:rsidR="00000000" w:rsidRPr="00C0067D" w:rsidP="002D5C39">
      <w:pPr>
        <w:pStyle w:val="BodyText"/>
      </w:pPr>
      <w:r w:rsidRPr="00C0067D">
        <w:t>This unit must be assessed in the workplace or a close simulation reflecting workplace conditions and stand</w:t>
      </w:r>
      <w:r w:rsidRPr="00C0067D">
        <w:t>ards, materials, equipment, activities, responsibilities, procedures, safety requirements and environmental considerations.</w:t>
      </w:r>
    </w:p>
    <w:p w:rsidR="00000000" w:rsidRPr="00C0067D" w:rsidP="00C0067D">
      <w:pPr>
        <w:pStyle w:val="Heading1"/>
      </w:pPr>
      <w:bookmarkStart w:id="13" w:name="O_1295380"/>
      <w:bookmarkEnd w:id="13"/>
      <w:r w:rsidRPr="00C0067D">
        <w:t>Links</w:t>
      </w:r>
    </w:p>
    <w:p w:rsidR="00000000" w:rsidRPr="00C0067D" w:rsidP="002D5C39">
      <w:pPr>
        <w:pStyle w:val="BodyText"/>
      </w:pPr>
      <w:r w:rsidRPr="00C0067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E6B62">
        <w:rPr>
          <w:rStyle w:val="Hyperlink"/>
        </w:rPr>
        <w:t>https://vetnet.gov.au/Pages/TrainingDocs.aspx?q=7e15fa6a-68b8-4097-b099-030a5569b1ad</w:t>
      </w:r>
      <w:r>
        <w:fldChar w:fldCharType="end"/>
      </w:r>
    </w:p>
    <w:p w:rsidR="00000000" w:rsidRPr="00C0067D" w:rsidP="00C0067D"/>
    <w:sectPr w:rsidSect="00C006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7D" w:rsidRPr="002D5C39" w:rsidP="002D5C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39" w:rsidP="00C00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5C39" w:rsidP="00C006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D5C39" w:rsidP="00C006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7D" w:rsidP="00C0067D">
    <w:pPr>
      <w:pStyle w:val="Footer"/>
      <w:framePr w:wrap="around"/>
    </w:pPr>
    <w:r>
      <w:fldChar w:fldCharType="begin"/>
    </w:r>
    <w:r>
      <w:instrText xml:space="preserve"> DOCPROPERTY  Subject  \* MERGEFORMAT </w:instrText>
    </w:r>
    <w:r>
      <w:fldChar w:fldCharType="separate"/>
    </w:r>
    <w:r w:rsidR="002D5C39">
      <w:t>Approved</w:t>
    </w:r>
    <w:r w:rsidR="002D5C39">
      <w:fldChar w:fldCharType="end"/>
    </w:r>
    <w:r>
      <w:tab/>
      <w:t xml:space="preserve">Page </w:t>
    </w:r>
    <w:r>
      <w:fldChar w:fldCharType="begin"/>
    </w:r>
    <w:r>
      <w:instrText xml:space="preserve"> PAGE  \* Arabic  \* MERGEFORMAT </w:instrText>
    </w:r>
    <w:r>
      <w:fldChar w:fldCharType="separate"/>
    </w:r>
    <w:r w:rsidR="002D5C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5C39">
      <w:rPr>
        <w:noProof/>
      </w:rPr>
      <w:t>4</w:t>
    </w:r>
    <w:r>
      <w:rPr>
        <w:noProof/>
      </w:rPr>
      <w:fldChar w:fldCharType="end"/>
    </w:r>
  </w:p>
  <w:p w:rsidR="00C0067D" w:rsidP="00C0067D">
    <w:pPr>
      <w:pStyle w:val="Footer"/>
      <w:framePr w:wrap="around"/>
    </w:pPr>
    <w:r>
      <w:t xml:space="preserve">© Commonwealth of Australia, </w:t>
    </w:r>
    <w:r>
      <w:fldChar w:fldCharType="begin"/>
    </w:r>
    <w:r>
      <w:instrText xml:space="preserve"> DATE  \@ "yyyy"  \* MERGEFORMAT </w:instrText>
    </w:r>
    <w:r>
      <w:fldChar w:fldCharType="separate"/>
    </w:r>
    <w:r w:rsidR="002D5C39">
      <w:rPr>
        <w:noProof/>
      </w:rPr>
      <w:t>2025</w:t>
    </w:r>
    <w:r>
      <w:fldChar w:fldCharType="end"/>
    </w:r>
    <w:r>
      <w:tab/>
    </w:r>
    <w:r>
      <w:fldChar w:fldCharType="begin"/>
    </w:r>
    <w:r>
      <w:instrText xml:space="preserve"> DOCPROPERTY  Author  \* MERGEFORMAT </w:instrText>
    </w:r>
    <w:r>
      <w:fldChar w:fldCharType="separate"/>
    </w:r>
    <w:r w:rsidR="002D5C39">
      <w:t>BuildSkills Australia</w:t>
    </w:r>
    <w:r w:rsidR="002D5C39">
      <w:fldChar w:fldCharType="end"/>
    </w:r>
  </w:p>
  <w:p w:rsidR="00C0067D" w:rsidP="00C006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67D" w:rsidRPr="002D5C39" w:rsidP="002D5C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39" w:rsidRPr="002D2AF8" w:rsidP="00C0067D">
    <w:pPr>
      <w:pStyle w:val="Header"/>
      <w:framePr w:wrap="around"/>
    </w:pPr>
    <w:r>
      <w:fldChar w:fldCharType="begin"/>
    </w:r>
    <w:r>
      <w:instrText xml:space="preserve"> TITLE   \* MERGEFORMAT </w:instrText>
    </w:r>
    <w:r>
      <w:fldChar w:fldCharType="separate"/>
    </w:r>
    <w:r>
      <w:t>CPCCCA3026 Assemble partitions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5C39" w:rsidP="00C006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67D" w:rsidRPr="002D2AF8" w:rsidP="00C0067D">
    <w:pPr>
      <w:pStyle w:val="Header"/>
      <w:framePr w:wrap="around"/>
    </w:pPr>
    <w:r>
      <w:fldChar w:fldCharType="begin"/>
    </w:r>
    <w:r>
      <w:instrText xml:space="preserve"> TITLE   \* MERGEFORMAT </w:instrText>
    </w:r>
    <w:r>
      <w:fldChar w:fldCharType="separate"/>
    </w:r>
    <w:r w:rsidR="002D5C39">
      <w:t>CPCCCA3026 Assemble partitions</w:t>
    </w:r>
    <w:r w:rsidR="002D5C39">
      <w:fldChar w:fldCharType="end"/>
    </w:r>
    <w:r>
      <w:tab/>
      <w:t xml:space="preserve">Date this document was generated: </w:t>
    </w:r>
    <w:r>
      <w:fldChar w:fldCharType="begin"/>
    </w:r>
    <w:r>
      <w:instrText xml:space="preserve"> CREATEDATE  \@ "d MMMM yyyy"  \* MERGEFORMAT </w:instrText>
    </w:r>
    <w:r>
      <w:fldChar w:fldCharType="separate"/>
    </w:r>
    <w:r w:rsidR="002D5C39">
      <w:rPr>
        <w:noProof/>
      </w:rPr>
      <w:t>2 March 2025</w:t>
    </w:r>
    <w:r>
      <w:fldChar w:fldCharType="end"/>
    </w:r>
  </w:p>
  <w:p w:rsidR="00C0067D" w:rsidP="00C006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25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FAFD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EE31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6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67D"/>
    <w:pPr>
      <w:spacing w:before="360" w:after="60"/>
      <w:outlineLvl w:val="0"/>
    </w:pPr>
    <w:rPr>
      <w:sz w:val="32"/>
    </w:rPr>
  </w:style>
  <w:style w:type="paragraph" w:styleId="Heading2">
    <w:name w:val="heading 2"/>
    <w:basedOn w:val="HeadingBase"/>
    <w:next w:val="BodyText"/>
    <w:link w:val="Heading2Char"/>
    <w:qFormat/>
    <w:rsid w:val="00C0067D"/>
    <w:pPr>
      <w:keepLines/>
      <w:spacing w:before="240" w:after="120"/>
      <w:outlineLvl w:val="1"/>
    </w:pPr>
    <w:rPr>
      <w:sz w:val="28"/>
      <w:szCs w:val="40"/>
    </w:rPr>
  </w:style>
  <w:style w:type="paragraph" w:styleId="Heading3">
    <w:name w:val="heading 3"/>
    <w:basedOn w:val="HeadingBase"/>
    <w:next w:val="BodyText"/>
    <w:link w:val="Heading3Char"/>
    <w:qFormat/>
    <w:rsid w:val="00C0067D"/>
    <w:pPr>
      <w:spacing w:before="180" w:after="120"/>
      <w:outlineLvl w:val="2"/>
    </w:pPr>
    <w:rPr>
      <w:spacing w:val="-10"/>
      <w:kern w:val="32"/>
    </w:rPr>
  </w:style>
  <w:style w:type="paragraph" w:styleId="Heading4">
    <w:name w:val="heading 4"/>
    <w:basedOn w:val="HeadingBase"/>
    <w:next w:val="BodyText"/>
    <w:link w:val="Heading4Char"/>
    <w:qFormat/>
    <w:rsid w:val="00C0067D"/>
    <w:pPr>
      <w:spacing w:before="160" w:after="120"/>
      <w:outlineLvl w:val="3"/>
    </w:pPr>
    <w:rPr>
      <w:sz w:val="22"/>
    </w:rPr>
  </w:style>
  <w:style w:type="paragraph" w:styleId="Heading5">
    <w:name w:val="heading 5"/>
    <w:basedOn w:val="HeadingBase"/>
    <w:next w:val="Normal"/>
    <w:link w:val="Heading5Char"/>
    <w:qFormat/>
    <w:rsid w:val="00C0067D"/>
    <w:pPr>
      <w:spacing w:before="80"/>
      <w:outlineLvl w:val="4"/>
    </w:pPr>
    <w:rPr>
      <w:color w:val="918585"/>
      <w:sz w:val="20"/>
    </w:rPr>
  </w:style>
  <w:style w:type="paragraph" w:styleId="Heading6">
    <w:name w:val="heading 6"/>
    <w:basedOn w:val="HeadingBase"/>
    <w:next w:val="Normal"/>
    <w:link w:val="Heading6Char"/>
    <w:qFormat/>
    <w:rsid w:val="00C0067D"/>
    <w:pPr>
      <w:spacing w:before="60"/>
      <w:outlineLvl w:val="5"/>
    </w:pPr>
    <w:rPr>
      <w:color w:val="918585"/>
      <w:sz w:val="20"/>
    </w:rPr>
  </w:style>
  <w:style w:type="paragraph" w:styleId="Heading7">
    <w:name w:val="heading 7"/>
    <w:basedOn w:val="Normal"/>
    <w:next w:val="Normal"/>
    <w:link w:val="Heading7Char"/>
    <w:qFormat/>
    <w:rsid w:val="00C0067D"/>
    <w:pPr>
      <w:ind w:left="720"/>
      <w:outlineLvl w:val="6"/>
    </w:pPr>
    <w:rPr>
      <w:i/>
    </w:rPr>
  </w:style>
  <w:style w:type="paragraph" w:styleId="Heading8">
    <w:name w:val="heading 8"/>
    <w:basedOn w:val="Normal"/>
    <w:next w:val="Normal"/>
    <w:link w:val="Heading8Char"/>
    <w:qFormat/>
    <w:rsid w:val="00C0067D"/>
    <w:pPr>
      <w:ind w:left="720"/>
      <w:outlineLvl w:val="7"/>
    </w:pPr>
    <w:rPr>
      <w:i/>
    </w:rPr>
  </w:style>
  <w:style w:type="paragraph" w:styleId="Heading9">
    <w:name w:val="heading 9"/>
    <w:basedOn w:val="Normal"/>
    <w:next w:val="Normal"/>
    <w:link w:val="Heading9Char"/>
    <w:qFormat/>
    <w:rsid w:val="00C0067D"/>
    <w:pPr>
      <w:ind w:left="720"/>
      <w:outlineLvl w:val="8"/>
    </w:pPr>
    <w:rPr>
      <w:i/>
    </w:rPr>
  </w:style>
  <w:style w:type="character" w:default="1" w:styleId="DefaultParagraphFont">
    <w:name w:val="Default Paragraph Font"/>
    <w:uiPriority w:val="1"/>
    <w:unhideWhenUsed/>
    <w:rsid w:val="00C00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67D"/>
  </w:style>
  <w:style w:type="character" w:customStyle="1" w:styleId="Heading1Char">
    <w:name w:val="Heading 1 Char"/>
    <w:basedOn w:val="DefaultParagraphFont"/>
    <w:link w:val="Heading1"/>
    <w:rsid w:val="00C0067D"/>
    <w:rPr>
      <w:rFonts w:ascii="Times New Roman" w:eastAsia="Times New Roman" w:hAnsi="Times New Roman" w:cs="Times New Roman"/>
      <w:b/>
      <w:sz w:val="32"/>
      <w:szCs w:val="20"/>
      <w:lang w:eastAsia="en-US"/>
    </w:rPr>
  </w:style>
  <w:style w:type="paragraph" w:styleId="BodyText">
    <w:name w:val="Body Text"/>
    <w:basedOn w:val="Normal"/>
    <w:link w:val="BodyTextChar"/>
    <w:rsid w:val="00C006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67D"/>
    <w:rPr>
      <w:rFonts w:ascii="Times New Roman" w:eastAsia="Times New Roman" w:hAnsi="Times New Roman" w:cs="Times New Roman"/>
      <w:sz w:val="24"/>
      <w:lang w:eastAsia="en-US"/>
    </w:rPr>
  </w:style>
  <w:style w:type="paragraph" w:styleId="ListBullet">
    <w:name w:val="List Bullet"/>
    <w:basedOn w:val="List"/>
    <w:rsid w:val="00C0067D"/>
    <w:pPr>
      <w:numPr>
        <w:numId w:val="12"/>
      </w:numPr>
      <w:tabs>
        <w:tab w:val="clear" w:pos="340"/>
      </w:tabs>
      <w:spacing w:before="40" w:after="40"/>
    </w:pPr>
  </w:style>
  <w:style w:type="paragraph" w:styleId="ListBullet2">
    <w:name w:val="List Bullet 2"/>
    <w:basedOn w:val="List2"/>
    <w:rsid w:val="00C0067D"/>
    <w:pPr>
      <w:numPr>
        <w:numId w:val="13"/>
      </w:numPr>
      <w:tabs>
        <w:tab w:val="clear" w:pos="680"/>
      </w:tabs>
    </w:pPr>
  </w:style>
  <w:style w:type="character" w:styleId="Emphasis">
    <w:name w:val="Emphasis"/>
    <w:basedOn w:val="DefaultParagraphFont"/>
    <w:qFormat/>
    <w:rsid w:val="00C0067D"/>
    <w:rPr>
      <w:i/>
    </w:rPr>
  </w:style>
  <w:style w:type="paragraph" w:customStyle="1" w:styleId="SuperHeading">
    <w:name w:val="SuperHeading"/>
    <w:basedOn w:val="Normal"/>
    <w:rsid w:val="00C0067D"/>
    <w:pPr>
      <w:spacing w:before="240" w:after="120"/>
      <w:outlineLvl w:val="0"/>
    </w:pPr>
    <w:rPr>
      <w:rFonts w:ascii="Times New Roman" w:hAnsi="Times New Roman"/>
      <w:b/>
      <w:sz w:val="32"/>
    </w:rPr>
  </w:style>
  <w:style w:type="paragraph" w:customStyle="1" w:styleId="AllowPageBreak">
    <w:name w:val="AllowPageBreak"/>
    <w:rsid w:val="00C006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0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6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6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67D"/>
    <w:rPr>
      <w:rFonts w:ascii="Courier New" w:eastAsia="Times New Roman" w:hAnsi="Courier New" w:cs="Times New Roman"/>
      <w:i/>
      <w:szCs w:val="20"/>
      <w:lang w:eastAsia="en-US"/>
    </w:rPr>
  </w:style>
  <w:style w:type="paragraph" w:customStyle="1" w:styleId="HeadingBase">
    <w:name w:val="Heading Base"/>
    <w:rsid w:val="00C00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67D"/>
    <w:pPr>
      <w:tabs>
        <w:tab w:val="right" w:leader="dot" w:pos="9072"/>
      </w:tabs>
      <w:ind w:left="567"/>
    </w:pPr>
    <w:rPr>
      <w:szCs w:val="22"/>
    </w:rPr>
  </w:style>
  <w:style w:type="paragraph" w:customStyle="1" w:styleId="TOCBase">
    <w:name w:val="TOC Base"/>
    <w:rsid w:val="00C00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67D"/>
    <w:pPr>
      <w:tabs>
        <w:tab w:val="right" w:leader="dot" w:pos="9072"/>
      </w:tabs>
      <w:spacing w:before="40" w:after="40"/>
      <w:ind w:left="284"/>
    </w:pPr>
    <w:rPr>
      <w:rFonts w:ascii="Times New Roman" w:hAnsi="Times New Roman"/>
    </w:rPr>
  </w:style>
  <w:style w:type="paragraph" w:styleId="TOC1">
    <w:name w:val="toc 1"/>
    <w:basedOn w:val="TOCBase"/>
    <w:next w:val="Normal"/>
    <w:rsid w:val="00C006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67D"/>
    <w:rPr>
      <w:rFonts w:ascii="Times New Roman" w:eastAsia="Times New Roman" w:hAnsi="Times New Roman" w:cs="Times New Roman"/>
      <w:sz w:val="16"/>
      <w:lang w:eastAsia="en-US"/>
    </w:rPr>
  </w:style>
  <w:style w:type="paragraph" w:styleId="Title">
    <w:name w:val="Title"/>
    <w:basedOn w:val="HeadingBase"/>
    <w:link w:val="TitleChar"/>
    <w:qFormat/>
    <w:rsid w:val="00C0067D"/>
    <w:pPr>
      <w:spacing w:before="5040"/>
      <w:jc w:val="center"/>
    </w:pPr>
    <w:rPr>
      <w:sz w:val="48"/>
      <w:szCs w:val="72"/>
      <w:lang w:val="en-US"/>
    </w:rPr>
  </w:style>
  <w:style w:type="character" w:customStyle="1" w:styleId="TitleChar">
    <w:name w:val="Title Char"/>
    <w:basedOn w:val="DefaultParagraphFont"/>
    <w:link w:val="Title"/>
    <w:rsid w:val="00C00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67D"/>
    <w:pPr>
      <w:tabs>
        <w:tab w:val="left" w:pos="3600"/>
        <w:tab w:val="left" w:pos="3958"/>
      </w:tabs>
    </w:pPr>
  </w:style>
  <w:style w:type="paragraph" w:styleId="List">
    <w:name w:val="List"/>
    <w:basedOn w:val="BodyText"/>
    <w:next w:val="BodyText"/>
    <w:rsid w:val="00C0067D"/>
    <w:pPr>
      <w:tabs>
        <w:tab w:val="left" w:pos="340"/>
      </w:tabs>
      <w:spacing w:before="60" w:after="60"/>
      <w:ind w:left="340" w:hanging="340"/>
    </w:pPr>
  </w:style>
  <w:style w:type="paragraph" w:customStyle="1" w:styleId="Note">
    <w:name w:val="Note"/>
    <w:basedOn w:val="BodyText"/>
    <w:rsid w:val="00C006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067D"/>
    <w:rPr>
      <w:b/>
      <w:spacing w:val="0"/>
    </w:rPr>
  </w:style>
  <w:style w:type="paragraph" w:customStyle="1" w:styleId="SuperTitle">
    <w:name w:val="SuperTitle"/>
    <w:basedOn w:val="Title"/>
    <w:rsid w:val="00C0067D"/>
    <w:pPr>
      <w:framePr w:wrap="auto" w:hAnchor="text" w:y="6049"/>
    </w:pPr>
    <w:rPr>
      <w:color w:val="000000"/>
      <w:sz w:val="40"/>
    </w:rPr>
  </w:style>
  <w:style w:type="paragraph" w:customStyle="1" w:styleId="TOCTitle">
    <w:name w:val="TOCTitle"/>
    <w:basedOn w:val="Heading1"/>
    <w:rsid w:val="00C0067D"/>
    <w:pPr>
      <w:spacing w:after="240"/>
      <w:jc w:val="center"/>
      <w:outlineLvl w:val="9"/>
    </w:pPr>
    <w:rPr>
      <w:caps/>
    </w:rPr>
  </w:style>
  <w:style w:type="paragraph" w:customStyle="1" w:styleId="Version">
    <w:name w:val="Version"/>
    <w:rsid w:val="00C00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67D"/>
    <w:pPr>
      <w:keepNext w:val="0"/>
      <w:tabs>
        <w:tab w:val="right" w:pos="4176"/>
      </w:tabs>
      <w:ind w:left="198" w:hanging="198"/>
    </w:pPr>
    <w:rPr>
      <w:rFonts w:ascii="Garamond" w:hAnsi="Garamond"/>
    </w:rPr>
  </w:style>
  <w:style w:type="paragraph" w:styleId="IndexHeading">
    <w:name w:val="index heading"/>
    <w:basedOn w:val="Normal"/>
    <w:next w:val="Index1"/>
    <w:semiHidden/>
    <w:rsid w:val="00C0067D"/>
    <w:pPr>
      <w:spacing w:before="120" w:after="120"/>
    </w:pPr>
    <w:rPr>
      <w:rFonts w:ascii="Arial" w:hAnsi="Arial"/>
      <w:b/>
      <w:color w:val="918585"/>
      <w:sz w:val="24"/>
    </w:rPr>
  </w:style>
  <w:style w:type="paragraph" w:styleId="Header">
    <w:name w:val="header"/>
    <w:basedOn w:val="Normal"/>
    <w:link w:val="HeaderChar"/>
    <w:rsid w:val="00C00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67D"/>
    <w:rPr>
      <w:rFonts w:ascii="Times New Roman" w:eastAsia="Times New Roman" w:hAnsi="Times New Roman" w:cs="Times New Roman"/>
      <w:sz w:val="16"/>
      <w:szCs w:val="20"/>
      <w:lang w:val="en-GB" w:eastAsia="en-US"/>
    </w:rPr>
  </w:style>
  <w:style w:type="paragraph" w:customStyle="1" w:styleId="Chapter">
    <w:name w:val="Chapter"/>
    <w:basedOn w:val="Normal"/>
    <w:rsid w:val="00C0067D"/>
    <w:pPr>
      <w:spacing w:before="240"/>
    </w:pPr>
    <w:rPr>
      <w:rFonts w:ascii="Times New Roman" w:hAnsi="Times New Roman"/>
      <w:smallCaps/>
      <w:spacing w:val="80"/>
      <w:sz w:val="28"/>
    </w:rPr>
  </w:style>
  <w:style w:type="paragraph" w:customStyle="1" w:styleId="InChapter">
    <w:name w:val="InChapter"/>
    <w:basedOn w:val="Heading3"/>
    <w:rsid w:val="00C0067D"/>
    <w:pPr>
      <w:spacing w:after="240"/>
      <w:outlineLvl w:val="9"/>
    </w:pPr>
    <w:rPr>
      <w:noProof/>
    </w:rPr>
  </w:style>
  <w:style w:type="paragraph" w:styleId="Index2">
    <w:name w:val="index 2"/>
    <w:basedOn w:val="Normal"/>
    <w:next w:val="Normal"/>
    <w:semiHidden/>
    <w:rsid w:val="00C0067D"/>
    <w:pPr>
      <w:tabs>
        <w:tab w:val="right" w:pos="4176"/>
      </w:tabs>
      <w:ind w:left="568" w:hanging="284"/>
    </w:pPr>
    <w:rPr>
      <w:rFonts w:ascii="Garamond" w:hAnsi="Garamond"/>
    </w:rPr>
  </w:style>
  <w:style w:type="paragraph" w:customStyle="1" w:styleId="Byline">
    <w:name w:val="Byline"/>
    <w:rsid w:val="00C00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67D"/>
    <w:pPr>
      <w:tabs>
        <w:tab w:val="clear" w:pos="3600"/>
        <w:tab w:val="clear" w:pos="3958"/>
      </w:tabs>
      <w:jc w:val="right"/>
    </w:pPr>
  </w:style>
  <w:style w:type="paragraph" w:styleId="Caption">
    <w:name w:val="caption"/>
    <w:basedOn w:val="BodyText"/>
    <w:next w:val="Normal"/>
    <w:qFormat/>
    <w:rsid w:val="00C0067D"/>
    <w:pPr>
      <w:framePr w:w="2268" w:hSpace="181" w:vSpace="181" w:wrap="around" w:vAnchor="text" w:hAnchor="page" w:x="1135" w:y="285" w:anchorLock="1"/>
    </w:pPr>
    <w:rPr>
      <w:i/>
    </w:rPr>
  </w:style>
  <w:style w:type="paragraph" w:customStyle="1" w:styleId="MiniTOCTitle">
    <w:name w:val="MiniTOCTitle"/>
    <w:basedOn w:val="Heading4"/>
    <w:rsid w:val="00C0067D"/>
    <w:pPr>
      <w:spacing w:before="240"/>
      <w:outlineLvl w:val="9"/>
    </w:pPr>
    <w:rPr>
      <w:noProof/>
      <w:sz w:val="24"/>
    </w:rPr>
  </w:style>
  <w:style w:type="paragraph" w:customStyle="1" w:styleId="MiniTOCItem">
    <w:name w:val="MiniTOCItem"/>
    <w:basedOn w:val="ListBullet"/>
    <w:rsid w:val="00C0067D"/>
    <w:pPr>
      <w:numPr>
        <w:numId w:val="0"/>
      </w:numPr>
      <w:tabs>
        <w:tab w:val="right" w:leader="dot" w:pos="6521"/>
      </w:tabs>
      <w:spacing w:before="0" w:after="0"/>
    </w:pPr>
  </w:style>
  <w:style w:type="paragraph" w:customStyle="1" w:styleId="TOFTitle">
    <w:name w:val="TOFTitle"/>
    <w:basedOn w:val="TOCTitle"/>
    <w:rsid w:val="00C0067D"/>
  </w:style>
  <w:style w:type="paragraph" w:styleId="TableofFigures">
    <w:name w:val="table of figures"/>
    <w:basedOn w:val="Normal"/>
    <w:next w:val="Normal"/>
    <w:semiHidden/>
    <w:rsid w:val="00C0067D"/>
    <w:pPr>
      <w:tabs>
        <w:tab w:val="right" w:leader="dot" w:pos="9072"/>
      </w:tabs>
      <w:ind w:left="970" w:hanging="403"/>
    </w:pPr>
    <w:rPr>
      <w:rFonts w:ascii="Times New Roman" w:hAnsi="Times New Roman"/>
      <w:b/>
    </w:rPr>
  </w:style>
  <w:style w:type="paragraph" w:styleId="ListNumber">
    <w:name w:val="List Number"/>
    <w:basedOn w:val="List"/>
    <w:rsid w:val="00C0067D"/>
    <w:pPr>
      <w:numPr>
        <w:numId w:val="15"/>
      </w:numPr>
      <w:tabs>
        <w:tab w:val="clear" w:pos="340"/>
      </w:tabs>
    </w:pPr>
  </w:style>
  <w:style w:type="character" w:customStyle="1" w:styleId="WingdingSymbols">
    <w:name w:val="Wingding Symbols"/>
    <w:rsid w:val="00C0067D"/>
    <w:rPr>
      <w:rFonts w:ascii="Wingdings" w:hAnsi="Wingdings"/>
    </w:rPr>
  </w:style>
  <w:style w:type="paragraph" w:customStyle="1" w:styleId="TableHeading">
    <w:name w:val="Table Heading"/>
    <w:basedOn w:val="HeadingBase"/>
    <w:rsid w:val="00C0067D"/>
    <w:pPr>
      <w:keepLines/>
      <w:pBdr>
        <w:bottom w:val="single" w:sz="6" w:space="1" w:color="918585"/>
      </w:pBdr>
      <w:spacing w:before="240"/>
    </w:pPr>
  </w:style>
  <w:style w:type="character" w:customStyle="1" w:styleId="HotSpot">
    <w:name w:val="HotSpot"/>
    <w:rsid w:val="00C0067D"/>
    <w:rPr>
      <w:color w:val="0033CC"/>
      <w:u w:val="none"/>
    </w:rPr>
  </w:style>
  <w:style w:type="paragraph" w:customStyle="1" w:styleId="BodyTextRight">
    <w:name w:val="Body Text Right"/>
    <w:basedOn w:val="BodyText"/>
    <w:rsid w:val="00C0067D"/>
    <w:pPr>
      <w:spacing w:before="0" w:after="0"/>
      <w:jc w:val="right"/>
    </w:pPr>
  </w:style>
  <w:style w:type="paragraph" w:styleId="Index3">
    <w:name w:val="index 3"/>
    <w:basedOn w:val="ListNumber2"/>
    <w:next w:val="Normal"/>
    <w:semiHidden/>
    <w:rsid w:val="00C0067D"/>
    <w:pPr>
      <w:numPr>
        <w:numId w:val="0"/>
      </w:numPr>
      <w:tabs>
        <w:tab w:val="right" w:leader="dot" w:pos="4176"/>
      </w:tabs>
    </w:pPr>
  </w:style>
  <w:style w:type="paragraph" w:styleId="ListNumber2">
    <w:name w:val="List Number 2"/>
    <w:basedOn w:val="List2"/>
    <w:rsid w:val="00C0067D"/>
    <w:pPr>
      <w:numPr>
        <w:numId w:val="10"/>
      </w:numPr>
      <w:tabs>
        <w:tab w:val="clear" w:pos="1060"/>
      </w:tabs>
    </w:pPr>
  </w:style>
  <w:style w:type="paragraph" w:customStyle="1" w:styleId="MarginNote">
    <w:name w:val="Margin Note"/>
    <w:basedOn w:val="BodyText"/>
    <w:rsid w:val="00C00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6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67D"/>
    <w:rPr>
      <w:sz w:val="32"/>
    </w:rPr>
  </w:style>
  <w:style w:type="paragraph" w:customStyle="1" w:styleId="HeadingProcedure">
    <w:name w:val="Heading Procedure"/>
    <w:basedOn w:val="HeadingBase"/>
    <w:next w:val="Normal"/>
    <w:rsid w:val="00C0067D"/>
    <w:pPr>
      <w:tabs>
        <w:tab w:val="left" w:pos="0"/>
      </w:tabs>
      <w:spacing w:before="120" w:after="60"/>
    </w:pPr>
    <w:rPr>
      <w:i/>
      <w:color w:val="918585"/>
      <w:sz w:val="22"/>
    </w:rPr>
  </w:style>
  <w:style w:type="paragraph" w:customStyle="1" w:styleId="TableBodyText">
    <w:name w:val="Table Body Text"/>
    <w:basedOn w:val="BodyText"/>
    <w:rsid w:val="00C0067D"/>
    <w:pPr>
      <w:spacing w:before="60" w:after="60"/>
    </w:pPr>
  </w:style>
  <w:style w:type="paragraph" w:styleId="ListContinue">
    <w:name w:val="List Continue"/>
    <w:basedOn w:val="List"/>
    <w:rsid w:val="00C0067D"/>
    <w:pPr>
      <w:ind w:firstLine="0"/>
    </w:pPr>
  </w:style>
  <w:style w:type="paragraph" w:customStyle="1" w:styleId="ListNote">
    <w:name w:val="List Note"/>
    <w:basedOn w:val="List"/>
    <w:rsid w:val="00C0067D"/>
    <w:pPr>
      <w:pBdr>
        <w:top w:val="single" w:sz="6" w:space="2" w:color="918585"/>
        <w:bottom w:val="single" w:sz="6" w:space="2" w:color="918585"/>
      </w:pBdr>
      <w:tabs>
        <w:tab w:val="left" w:pos="1021"/>
      </w:tabs>
      <w:ind w:firstLine="0"/>
    </w:pPr>
  </w:style>
  <w:style w:type="paragraph" w:customStyle="1" w:styleId="Warning">
    <w:name w:val="Warning"/>
    <w:basedOn w:val="BodyText"/>
    <w:rsid w:val="00C0067D"/>
    <w:pPr>
      <w:shd w:val="clear" w:color="auto" w:fill="D9D9D9"/>
      <w:tabs>
        <w:tab w:val="left" w:pos="992"/>
      </w:tabs>
      <w:ind w:left="119" w:right="119"/>
    </w:pPr>
    <w:rPr>
      <w:sz w:val="20"/>
    </w:rPr>
  </w:style>
  <w:style w:type="paragraph" w:customStyle="1" w:styleId="MarginIcons">
    <w:name w:val="Margin Icons"/>
    <w:basedOn w:val="BodyText"/>
    <w:rsid w:val="00C00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67D"/>
    <w:rPr>
      <w:rFonts w:ascii="Courier New" w:hAnsi="Courier New"/>
    </w:rPr>
  </w:style>
  <w:style w:type="paragraph" w:customStyle="1" w:styleId="NoteBullet">
    <w:name w:val="Note Bullet"/>
    <w:basedOn w:val="Note"/>
    <w:rsid w:val="00C0067D"/>
    <w:pPr>
      <w:tabs>
        <w:tab w:val="clear" w:pos="680"/>
      </w:tabs>
      <w:spacing w:before="60" w:after="60"/>
    </w:pPr>
  </w:style>
  <w:style w:type="paragraph" w:customStyle="1" w:styleId="SubHeading2">
    <w:name w:val="SubHeading2"/>
    <w:basedOn w:val="HeadingBase"/>
    <w:rsid w:val="00C0067D"/>
    <w:pPr>
      <w:spacing w:before="240" w:after="60"/>
    </w:pPr>
    <w:rPr>
      <w:sz w:val="20"/>
    </w:rPr>
  </w:style>
  <w:style w:type="paragraph" w:customStyle="1" w:styleId="SubHeading1">
    <w:name w:val="SubHeading1"/>
    <w:basedOn w:val="HeadingBase"/>
    <w:rsid w:val="00C0067D"/>
    <w:pPr>
      <w:spacing w:before="240" w:after="60"/>
    </w:pPr>
    <w:rPr>
      <w:color w:val="918585"/>
      <w:sz w:val="22"/>
    </w:rPr>
  </w:style>
  <w:style w:type="paragraph" w:customStyle="1" w:styleId="SideHeading">
    <w:name w:val="Side Heading"/>
    <w:basedOn w:val="HeadingBase"/>
    <w:rsid w:val="00C00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67D"/>
    <w:pPr>
      <w:tabs>
        <w:tab w:val="num" w:pos="360"/>
      </w:tabs>
    </w:pPr>
  </w:style>
  <w:style w:type="paragraph" w:styleId="PlainText">
    <w:name w:val="Plain Text"/>
    <w:basedOn w:val="Normal"/>
    <w:link w:val="PlainTextChar"/>
    <w:rsid w:val="00C0067D"/>
    <w:rPr>
      <w:sz w:val="20"/>
    </w:rPr>
  </w:style>
  <w:style w:type="character" w:customStyle="1" w:styleId="PlainTextChar">
    <w:name w:val="Plain Text Char"/>
    <w:basedOn w:val="DefaultParagraphFont"/>
    <w:link w:val="PlainText"/>
    <w:rsid w:val="00C0067D"/>
    <w:rPr>
      <w:rFonts w:ascii="Courier New" w:eastAsia="Times New Roman" w:hAnsi="Courier New" w:cs="Times New Roman"/>
      <w:sz w:val="20"/>
      <w:szCs w:val="20"/>
      <w:lang w:eastAsia="en-US"/>
    </w:rPr>
  </w:style>
  <w:style w:type="character" w:customStyle="1" w:styleId="MenuOption">
    <w:name w:val="Menu Option"/>
    <w:basedOn w:val="DefaultParagraphFont"/>
    <w:rsid w:val="00C0067D"/>
    <w:rPr>
      <w:b/>
      <w:smallCaps/>
    </w:rPr>
  </w:style>
  <w:style w:type="paragraph" w:customStyle="1" w:styleId="TableListNumber">
    <w:name w:val="Table List Number"/>
    <w:basedOn w:val="ListNumber"/>
    <w:rsid w:val="00C0067D"/>
    <w:pPr>
      <w:numPr>
        <w:numId w:val="0"/>
      </w:numPr>
    </w:pPr>
  </w:style>
  <w:style w:type="paragraph" w:styleId="TOC4">
    <w:name w:val="toc 4"/>
    <w:basedOn w:val="TOCBase"/>
    <w:next w:val="Normal"/>
    <w:semiHidden/>
    <w:rsid w:val="00C0067D"/>
    <w:pPr>
      <w:tabs>
        <w:tab w:val="right" w:leader="dot" w:pos="9071"/>
      </w:tabs>
      <w:ind w:left="1701"/>
    </w:pPr>
  </w:style>
  <w:style w:type="paragraph" w:customStyle="1" w:styleId="ListAlpha">
    <w:name w:val="List Alpha"/>
    <w:basedOn w:val="List"/>
    <w:rsid w:val="00C0067D"/>
    <w:pPr>
      <w:numPr>
        <w:numId w:val="9"/>
      </w:numPr>
    </w:pPr>
  </w:style>
  <w:style w:type="paragraph" w:customStyle="1" w:styleId="ListAlpha2">
    <w:name w:val="List Alpha 2"/>
    <w:basedOn w:val="List2"/>
    <w:rsid w:val="00C0067D"/>
    <w:pPr>
      <w:numPr>
        <w:numId w:val="8"/>
      </w:numPr>
    </w:pPr>
  </w:style>
  <w:style w:type="paragraph" w:styleId="List2">
    <w:name w:val="List 2"/>
    <w:basedOn w:val="BodyText"/>
    <w:rsid w:val="00C0067D"/>
    <w:pPr>
      <w:tabs>
        <w:tab w:val="left" w:pos="680"/>
      </w:tabs>
      <w:spacing w:before="60" w:after="60"/>
      <w:ind w:left="680" w:hanging="340"/>
    </w:pPr>
  </w:style>
  <w:style w:type="paragraph" w:styleId="List3">
    <w:name w:val="List 3"/>
    <w:basedOn w:val="BodyText"/>
    <w:rsid w:val="00C0067D"/>
    <w:pPr>
      <w:tabs>
        <w:tab w:val="left" w:pos="1021"/>
      </w:tabs>
      <w:spacing w:before="60" w:after="60"/>
      <w:ind w:left="1020" w:hanging="340"/>
    </w:pPr>
  </w:style>
  <w:style w:type="paragraph" w:styleId="List4">
    <w:name w:val="List 4"/>
    <w:basedOn w:val="BodyText"/>
    <w:rsid w:val="00C0067D"/>
    <w:pPr>
      <w:tabs>
        <w:tab w:val="left" w:pos="1361"/>
      </w:tabs>
      <w:spacing w:before="60" w:after="60"/>
      <w:ind w:left="1361" w:hanging="340"/>
    </w:pPr>
  </w:style>
  <w:style w:type="paragraph" w:styleId="List5">
    <w:name w:val="List 5"/>
    <w:basedOn w:val="BodyText"/>
    <w:rsid w:val="00C0067D"/>
    <w:pPr>
      <w:tabs>
        <w:tab w:val="left" w:pos="1701"/>
      </w:tabs>
      <w:spacing w:before="60" w:after="60"/>
      <w:ind w:left="1701" w:hanging="340"/>
    </w:pPr>
  </w:style>
  <w:style w:type="paragraph" w:styleId="ListBullet3">
    <w:name w:val="List Bullet 3"/>
    <w:basedOn w:val="List3"/>
    <w:rsid w:val="00C0067D"/>
    <w:pPr>
      <w:numPr>
        <w:numId w:val="14"/>
      </w:numPr>
      <w:tabs>
        <w:tab w:val="clear" w:pos="1021"/>
      </w:tabs>
      <w:ind w:left="1037" w:hanging="357"/>
    </w:pPr>
  </w:style>
  <w:style w:type="paragraph" w:styleId="ListBullet4">
    <w:name w:val="List Bullet 4"/>
    <w:basedOn w:val="List4"/>
    <w:rsid w:val="00C0067D"/>
    <w:pPr>
      <w:numPr>
        <w:numId w:val="3"/>
      </w:numPr>
      <w:tabs>
        <w:tab w:val="clear" w:pos="1361"/>
      </w:tabs>
    </w:pPr>
  </w:style>
  <w:style w:type="paragraph" w:styleId="ListBullet5">
    <w:name w:val="List Bullet 5"/>
    <w:basedOn w:val="List5"/>
    <w:rsid w:val="00C0067D"/>
    <w:pPr>
      <w:numPr>
        <w:numId w:val="4"/>
      </w:numPr>
    </w:pPr>
  </w:style>
  <w:style w:type="paragraph" w:styleId="ListContinue2">
    <w:name w:val="List Continue 2"/>
    <w:basedOn w:val="List2"/>
    <w:rsid w:val="00C0067D"/>
    <w:pPr>
      <w:ind w:firstLine="0"/>
    </w:pPr>
  </w:style>
  <w:style w:type="paragraph" w:styleId="ListContinue3">
    <w:name w:val="List Continue 3"/>
    <w:basedOn w:val="List3"/>
    <w:rsid w:val="00C0067D"/>
    <w:pPr>
      <w:ind w:left="1021" w:firstLine="0"/>
    </w:pPr>
  </w:style>
  <w:style w:type="paragraph" w:styleId="ListContinue4">
    <w:name w:val="List Continue 4"/>
    <w:basedOn w:val="List4"/>
    <w:rsid w:val="00C0067D"/>
    <w:pPr>
      <w:ind w:firstLine="0"/>
    </w:pPr>
  </w:style>
  <w:style w:type="paragraph" w:styleId="ListContinue5">
    <w:name w:val="List Continue 5"/>
    <w:basedOn w:val="List5"/>
    <w:rsid w:val="00C0067D"/>
    <w:pPr>
      <w:ind w:firstLine="0"/>
    </w:pPr>
  </w:style>
  <w:style w:type="paragraph" w:styleId="ListNumber3">
    <w:name w:val="List Number 3"/>
    <w:basedOn w:val="List3"/>
    <w:rsid w:val="00C0067D"/>
    <w:pPr>
      <w:numPr>
        <w:numId w:val="5"/>
      </w:numPr>
    </w:pPr>
  </w:style>
  <w:style w:type="paragraph" w:styleId="ListNumber4">
    <w:name w:val="List Number 4"/>
    <w:basedOn w:val="List4"/>
    <w:rsid w:val="00C0067D"/>
    <w:pPr>
      <w:numPr>
        <w:numId w:val="6"/>
      </w:numPr>
    </w:pPr>
  </w:style>
  <w:style w:type="paragraph" w:styleId="ListNumber5">
    <w:name w:val="List Number 5"/>
    <w:basedOn w:val="List5"/>
    <w:rsid w:val="00C0067D"/>
    <w:pPr>
      <w:numPr>
        <w:numId w:val="7"/>
      </w:numPr>
    </w:pPr>
  </w:style>
  <w:style w:type="paragraph" w:styleId="BlockText">
    <w:name w:val="Block Text"/>
    <w:basedOn w:val="Normal"/>
    <w:rsid w:val="00C0067D"/>
    <w:pPr>
      <w:spacing w:after="120"/>
      <w:ind w:left="1440" w:right="1440"/>
    </w:pPr>
  </w:style>
  <w:style w:type="character" w:customStyle="1" w:styleId="Subscript">
    <w:name w:val="Subscript"/>
    <w:basedOn w:val="DefaultParagraphFont"/>
    <w:rsid w:val="00C0067D"/>
    <w:rPr>
      <w:sz w:val="16"/>
      <w:vertAlign w:val="subscript"/>
    </w:rPr>
  </w:style>
  <w:style w:type="character" w:customStyle="1" w:styleId="Superscript">
    <w:name w:val="Superscript"/>
    <w:basedOn w:val="DefaultParagraphFont"/>
    <w:rsid w:val="00C0067D"/>
    <w:rPr>
      <w:sz w:val="16"/>
      <w:vertAlign w:val="superscript"/>
    </w:rPr>
  </w:style>
  <w:style w:type="character" w:customStyle="1" w:styleId="Symbols">
    <w:name w:val="Symbols"/>
    <w:basedOn w:val="DefaultParagraphFont"/>
    <w:rsid w:val="00C0067D"/>
    <w:rPr>
      <w:rFonts w:ascii="Symbol" w:hAnsi="Symbol"/>
    </w:rPr>
  </w:style>
  <w:style w:type="character" w:customStyle="1" w:styleId="MenuOptions">
    <w:name w:val="Menu Options"/>
    <w:basedOn w:val="DefaultParagraphFont"/>
    <w:rsid w:val="00C0067D"/>
    <w:rPr>
      <w:rFonts w:ascii="Arial Narrow" w:hAnsi="Arial Narrow"/>
      <w:smallCaps/>
    </w:rPr>
  </w:style>
  <w:style w:type="character" w:customStyle="1" w:styleId="Buttons">
    <w:name w:val="Buttons"/>
    <w:basedOn w:val="DefaultParagraphFont"/>
    <w:rsid w:val="00C0067D"/>
    <w:rPr>
      <w:b/>
    </w:rPr>
  </w:style>
  <w:style w:type="character" w:customStyle="1" w:styleId="Underlined">
    <w:name w:val="Underlined"/>
    <w:basedOn w:val="DefaultParagraphFont"/>
    <w:rsid w:val="00C0067D"/>
    <w:rPr>
      <w:u w:val="single"/>
    </w:rPr>
  </w:style>
  <w:style w:type="paragraph" w:customStyle="1" w:styleId="TableBodyTextRight">
    <w:name w:val="Table Body Text Right"/>
    <w:basedOn w:val="TableBodyText"/>
    <w:rsid w:val="00C0067D"/>
    <w:pPr>
      <w:widowControl w:val="0"/>
      <w:autoSpaceDE w:val="0"/>
      <w:autoSpaceDN w:val="0"/>
      <w:adjustRightInd w:val="0"/>
      <w:jc w:val="right"/>
    </w:pPr>
    <w:rPr>
      <w:rFonts w:cs="Arial"/>
      <w:szCs w:val="18"/>
    </w:rPr>
  </w:style>
  <w:style w:type="paragraph" w:customStyle="1" w:styleId="CopyrightText">
    <w:name w:val="Copyright Text"/>
    <w:basedOn w:val="BodyText"/>
    <w:rsid w:val="00C0067D"/>
    <w:rPr>
      <w:sz w:val="18"/>
    </w:rPr>
  </w:style>
  <w:style w:type="paragraph" w:customStyle="1" w:styleId="BodySmallRight">
    <w:name w:val="Body Small Right"/>
    <w:basedOn w:val="BodyTextRight"/>
    <w:rsid w:val="00C0067D"/>
    <w:rPr>
      <w:sz w:val="18"/>
      <w:szCs w:val="18"/>
    </w:rPr>
  </w:style>
  <w:style w:type="paragraph" w:customStyle="1" w:styleId="MarginEdition">
    <w:name w:val="Margin Edition"/>
    <w:basedOn w:val="MarginNote"/>
    <w:rsid w:val="00C0067D"/>
    <w:pPr>
      <w:spacing w:before="0" w:after="0"/>
    </w:pPr>
    <w:rPr>
      <w:rFonts w:ascii="Times New Roman" w:hAnsi="Times New Roman"/>
      <w:color w:val="999999"/>
    </w:rPr>
  </w:style>
  <w:style w:type="paragraph" w:customStyle="1" w:styleId="Spacer">
    <w:name w:val="Spacer"/>
    <w:basedOn w:val="Normal"/>
    <w:rsid w:val="00C0067D"/>
    <w:rPr>
      <w:sz w:val="2"/>
      <w:szCs w:val="2"/>
    </w:rPr>
  </w:style>
  <w:style w:type="character" w:customStyle="1" w:styleId="Small">
    <w:name w:val="Small"/>
    <w:basedOn w:val="DefaultParagraphFont"/>
    <w:rsid w:val="00C0067D"/>
    <w:rPr>
      <w:sz w:val="16"/>
    </w:rPr>
  </w:style>
  <w:style w:type="paragraph" w:customStyle="1" w:styleId="WideTable">
    <w:name w:val="Wide Table"/>
    <w:basedOn w:val="Normal"/>
    <w:rsid w:val="00C0067D"/>
    <w:pPr>
      <w:ind w:left="-1418"/>
    </w:pPr>
    <w:rPr>
      <w:sz w:val="2"/>
      <w:szCs w:val="2"/>
    </w:rPr>
  </w:style>
  <w:style w:type="character" w:styleId="PageNumber">
    <w:name w:val="page number"/>
    <w:basedOn w:val="DefaultParagraphFont"/>
    <w:rsid w:val="00C0067D"/>
  </w:style>
  <w:style w:type="paragraph" w:styleId="Quote">
    <w:name w:val="Quote"/>
    <w:basedOn w:val="Heading1"/>
    <w:link w:val="QuoteChar"/>
    <w:qFormat/>
    <w:rsid w:val="00C0067D"/>
    <w:rPr>
      <w:b w:val="0"/>
      <w:sz w:val="72"/>
      <w:szCs w:val="72"/>
      <w:lang w:val="en-NZ"/>
    </w:rPr>
  </w:style>
  <w:style w:type="character" w:customStyle="1" w:styleId="QuoteChar">
    <w:name w:val="Quote Char"/>
    <w:basedOn w:val="DefaultParagraphFont"/>
    <w:link w:val="Quote"/>
    <w:rsid w:val="00C00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67D"/>
    <w:pPr>
      <w:pageBreakBefore/>
    </w:pPr>
  </w:style>
  <w:style w:type="paragraph" w:customStyle="1" w:styleId="Border">
    <w:name w:val="Border"/>
    <w:basedOn w:val="Normal"/>
    <w:qFormat/>
    <w:rsid w:val="00C00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67D"/>
    <w:rPr>
      <w:b/>
      <w:bCs/>
      <w:i/>
      <w:iCs/>
      <w:color w:val="auto"/>
    </w:rPr>
  </w:style>
  <w:style w:type="paragraph" w:styleId="IntenseQuote">
    <w:name w:val="Intense Quote"/>
    <w:basedOn w:val="Normal"/>
    <w:next w:val="Normal"/>
    <w:link w:val="IntenseQuoteChar"/>
    <w:uiPriority w:val="30"/>
    <w:qFormat/>
    <w:rsid w:val="00C00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6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67D"/>
    <w:rPr>
      <w:smallCaps/>
      <w:color w:val="auto"/>
      <w:u w:val="single"/>
    </w:rPr>
  </w:style>
  <w:style w:type="character" w:styleId="IntenseReference">
    <w:name w:val="Intense Reference"/>
    <w:basedOn w:val="DefaultParagraphFont"/>
    <w:uiPriority w:val="32"/>
    <w:qFormat/>
    <w:rsid w:val="00C0067D"/>
    <w:rPr>
      <w:b/>
      <w:bCs/>
      <w:smallCaps/>
      <w:color w:val="auto"/>
      <w:spacing w:val="5"/>
      <w:u w:val="single"/>
    </w:rPr>
  </w:style>
  <w:style w:type="paragraph" w:customStyle="1" w:styleId="2ColumnHeading">
    <w:name w:val="2Column Heading"/>
    <w:basedOn w:val="BodyText"/>
    <w:qFormat/>
    <w:rsid w:val="00C0067D"/>
    <w:pPr>
      <w:spacing w:after="60"/>
      <w:ind w:left="-2268"/>
    </w:pPr>
    <w:rPr>
      <w:b/>
    </w:rPr>
  </w:style>
  <w:style w:type="paragraph" w:customStyle="1" w:styleId="Heading1TOC">
    <w:name w:val="Heading1 TOC"/>
    <w:basedOn w:val="Normal"/>
    <w:qFormat/>
    <w:rsid w:val="00C0067D"/>
    <w:pPr>
      <w:spacing w:before="240" w:after="120"/>
    </w:pPr>
    <w:rPr>
      <w:rFonts w:ascii="Times New Roman" w:hAnsi="Times New Roman"/>
      <w:b/>
      <w:sz w:val="32"/>
    </w:rPr>
  </w:style>
  <w:style w:type="paragraph" w:customStyle="1" w:styleId="Heading2TOC">
    <w:name w:val="Heading2 TOC"/>
    <w:basedOn w:val="Normal"/>
    <w:qFormat/>
    <w:rsid w:val="00C0067D"/>
    <w:pPr>
      <w:spacing w:before="240" w:after="60"/>
    </w:pPr>
    <w:rPr>
      <w:rFonts w:ascii="Times New Roman" w:hAnsi="Times New Roman"/>
      <w:b/>
      <w:sz w:val="28"/>
    </w:rPr>
  </w:style>
  <w:style w:type="character" w:customStyle="1" w:styleId="Underline">
    <w:name w:val="Underline"/>
    <w:basedOn w:val="DefaultParagraphFont"/>
    <w:qFormat/>
    <w:rsid w:val="00C0067D"/>
    <w:rPr>
      <w:u w:val="single"/>
    </w:rPr>
  </w:style>
  <w:style w:type="character" w:customStyle="1" w:styleId="BoldandItalics">
    <w:name w:val="Bold and Italics"/>
    <w:qFormat/>
    <w:rsid w:val="00C0067D"/>
    <w:rPr>
      <w:b/>
      <w:i/>
      <w:u w:val="none"/>
    </w:rPr>
  </w:style>
  <w:style w:type="paragraph" w:styleId="BalloonText">
    <w:name w:val="Balloon Text"/>
    <w:basedOn w:val="Normal"/>
    <w:link w:val="BalloonTextChar"/>
    <w:rsid w:val="00C0067D"/>
    <w:rPr>
      <w:rFonts w:ascii="Tahoma" w:hAnsi="Tahoma" w:cs="Tahoma"/>
      <w:sz w:val="16"/>
      <w:szCs w:val="16"/>
    </w:rPr>
  </w:style>
  <w:style w:type="character" w:customStyle="1" w:styleId="BalloonTextChar">
    <w:name w:val="Balloon Text Char"/>
    <w:basedOn w:val="DefaultParagraphFont"/>
    <w:link w:val="BalloonText"/>
    <w:rsid w:val="00C006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6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6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67D"/>
    <w:rPr>
      <w:b/>
      <w:color w:val="660033"/>
      <w:spacing w:val="0"/>
    </w:rPr>
  </w:style>
  <w:style w:type="paragraph" w:customStyle="1" w:styleId="Nameditemlist">
    <w:name w:val="Named item list"/>
    <w:basedOn w:val="BodyText"/>
    <w:qFormat/>
    <w:rsid w:val="00C0067D"/>
    <w:pPr>
      <w:tabs>
        <w:tab w:val="left" w:pos="2835"/>
      </w:tabs>
      <w:ind w:left="2835" w:hanging="2835"/>
    </w:pPr>
  </w:style>
  <w:style w:type="paragraph" w:customStyle="1" w:styleId="BodyTextnopadding">
    <w:name w:val="Body Text no padding"/>
    <w:basedOn w:val="BodyText"/>
    <w:qFormat/>
    <w:rsid w:val="00C0067D"/>
    <w:pPr>
      <w:spacing w:before="0" w:after="0"/>
    </w:pPr>
  </w:style>
  <w:style w:type="paragraph" w:customStyle="1" w:styleId="BodyTextBold">
    <w:name w:val="Body Text Bold"/>
    <w:basedOn w:val="BodyText"/>
    <w:qFormat/>
    <w:rsid w:val="00C0067D"/>
    <w:rPr>
      <w:b/>
    </w:rPr>
  </w:style>
  <w:style w:type="character" w:styleId="Hyperlink">
    <w:name w:val="Hyperlink"/>
    <w:basedOn w:val="DefaultParagraphFont"/>
    <w:uiPriority w:val="99"/>
    <w:unhideWhenUsed/>
    <w:rsid w:val="002D5C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737</Words>
  <Characters>4722</Characters>
  <Application>Microsoft Office Word</Application>
  <DocSecurity>0</DocSecurity>
  <Lines>188</Lines>
  <Paragraphs>116</Paragraphs>
  <ScaleCrop>false</ScaleCrop>
  <Company>Author-it Software Corporation Ltd.</Company>
  <LinksUpToDate>false</LinksUpToDate>
  <CharactersWithSpaces>5343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CPCCCA3026 Assemble partitions</dc:title>
  <dc:subject>Approved</dc:subject>
  <dc:creator>BuildSkills Australia</dc:creator>
  <cp:keywords>Release: 2</cp:keywords>
  <dc:description>Review Date: 12 April 2008</dc:description>
  <cp:lastModifiedBy>HSD_TPCMSd.prod</cp:lastModifiedBy>
  <cp:revision>3</cp:revision>
  <dcterms:created xsi:type="dcterms:W3CDTF">2025-03-01T21:21:00Z</dcterms:created>
  <dcterms:modified xsi:type="dcterms:W3CDTF">2025-03-01T21:21:00Z</dcterms:modified>
</cp:coreProperties>
</file>