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BF2" w:rsidP="00675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CPCCCA3026 Assemble partitions</w:t>
      </w:r>
      <w:r>
        <w:fldChar w:fldCharType="end"/>
      </w:r>
    </w:p>
    <w:p w:rsidR="00675BF2" w:rsidP="00675BF2">
      <w:pPr>
        <w:pStyle w:val="Version"/>
        <w:sectPr w:rsidSect="00377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7772" w:rsidP="00377772">
      <w:pPr>
        <w:pStyle w:val="SuperHeading"/>
      </w:pPr>
      <w:r w:rsidRPr="00377772">
        <w:t>Assessment Requirements for CPCCCA3026 Assemble partitions</w:t>
      </w:r>
    </w:p>
    <w:p w:rsidR="00000000" w:rsidRPr="00377772" w:rsidP="00377772">
      <w:pPr>
        <w:pStyle w:val="Heading1"/>
      </w:pPr>
      <w:bookmarkStart w:id="1" w:name="O_1295370"/>
      <w:bookmarkEnd w:id="1"/>
      <w:r w:rsidRPr="003777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77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72">
            <w:pPr>
              <w:pStyle w:val="BodyText"/>
              <w:rPr>
                <w:lang w:val="en-NZ"/>
              </w:rPr>
            </w:pPr>
            <w:r w:rsidRPr="0037777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72">
            <w:pPr>
              <w:pStyle w:val="BodyText"/>
              <w:rPr>
                <w:lang w:val="en-NZ"/>
              </w:rPr>
            </w:pPr>
            <w:r w:rsidRPr="00377772">
              <w:t>Updated reference to general construction induction training program.</w:t>
            </w:r>
          </w:p>
        </w:tc>
      </w:tr>
      <w:tr w:rsidTr="00377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772">
            <w:pPr>
              <w:pStyle w:val="BodyText"/>
              <w:rPr>
                <w:lang w:val="en-NZ"/>
              </w:rPr>
            </w:pPr>
            <w:r w:rsidRPr="0037777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772" w:rsidP="00377772">
            <w:pPr>
              <w:pStyle w:val="BodyText"/>
            </w:pPr>
            <w:r w:rsidRPr="00377772">
              <w:t>This version first released with CPC Construction, Plumbing and Services Training Package Release 5.0.</w:t>
            </w:r>
          </w:p>
          <w:p w:rsidR="00000000" w:rsidRPr="00377772" w:rsidP="00377772">
            <w:pPr>
              <w:pStyle w:val="BodyText"/>
            </w:pPr>
            <w:r w:rsidRPr="00377772">
              <w:t>New unit</w:t>
            </w:r>
          </w:p>
        </w:tc>
      </w:tr>
    </w:tbl>
    <w:p w:rsidR="00000000" w:rsidRPr="00377772" w:rsidP="00377772">
      <w:pPr>
        <w:pStyle w:val="BodyText"/>
      </w:pPr>
    </w:p>
    <w:p w:rsidR="00000000" w:rsidRPr="00377772" w:rsidP="00377772">
      <w:pPr>
        <w:pStyle w:val="AllowPageBreak"/>
      </w:pPr>
    </w:p>
    <w:p w:rsidR="00000000" w:rsidRPr="00377772" w:rsidP="00377772">
      <w:pPr>
        <w:pStyle w:val="Heading1"/>
      </w:pPr>
      <w:bookmarkStart w:id="2" w:name="O_1295369"/>
      <w:bookmarkEnd w:id="2"/>
      <w:r w:rsidRPr="00377772">
        <w:t>Performance Evidence</w:t>
      </w:r>
    </w:p>
    <w:p w:rsidR="00000000" w:rsidRPr="00377772" w:rsidP="00675BF2">
      <w:pPr>
        <w:pStyle w:val="BodyText"/>
      </w:pPr>
      <w:r w:rsidRPr="00377772">
        <w:t>To demonstrate competency, a candidate must meet the performance criteria of this unit by setting out, cutting and assembling partitions a minimum of 4.8 metres in length and 1.8 metres in height, including:</w:t>
      </w:r>
    </w:p>
    <w:p w:rsidR="00000000" w:rsidRPr="00377772" w:rsidP="00377772">
      <w:pPr>
        <w:pStyle w:val="ListBullet"/>
      </w:pPr>
      <w:r w:rsidRPr="00377772">
        <w:t>an L shape intersec</w:t>
      </w:r>
      <w:r w:rsidRPr="00377772">
        <w:t>tion</w:t>
      </w:r>
    </w:p>
    <w:p w:rsidR="00000000" w:rsidRPr="00377772" w:rsidP="00377772">
      <w:pPr>
        <w:pStyle w:val="ListBullet"/>
      </w:pPr>
      <w:r w:rsidRPr="00377772">
        <w:t>a T intersection</w:t>
      </w:r>
    </w:p>
    <w:p w:rsidR="00000000" w:rsidRPr="00377772" w:rsidP="00377772">
      <w:pPr>
        <w:pStyle w:val="ListBullet"/>
      </w:pPr>
      <w:r w:rsidRPr="00377772">
        <w:t>a window and door panel.</w:t>
      </w:r>
    </w:p>
    <w:p w:rsidR="00000000" w:rsidRPr="00377772" w:rsidP="00377772">
      <w:pPr>
        <w:pStyle w:val="AllowPageBreak"/>
      </w:pPr>
    </w:p>
    <w:p w:rsidR="00000000" w:rsidRPr="00377772" w:rsidP="00377772">
      <w:pPr>
        <w:pStyle w:val="Heading1"/>
      </w:pPr>
      <w:bookmarkStart w:id="3" w:name="O_1295368"/>
      <w:bookmarkEnd w:id="3"/>
      <w:r w:rsidRPr="00377772">
        <w:t>Knowledge Evidence</w:t>
      </w:r>
    </w:p>
    <w:p w:rsidR="00000000" w:rsidRPr="00377772" w:rsidP="00675BF2">
      <w:pPr>
        <w:pStyle w:val="BodyText"/>
      </w:pPr>
      <w:r w:rsidRPr="00377772">
        <w:t>To be competent in this unit, a candidate must demonstrate knowledge of:</w:t>
      </w:r>
    </w:p>
    <w:p w:rsidR="00000000" w:rsidRPr="00377772" w:rsidP="00377772">
      <w:pPr>
        <w:pStyle w:val="ListBullet"/>
      </w:pPr>
      <w:r w:rsidRPr="00377772">
        <w:t xml:space="preserve">compliance requirements of national construction codes and Australian Standards relevant to assembling partitions </w:t>
      </w:r>
    </w:p>
    <w:p w:rsidR="00000000" w:rsidRPr="00377772" w:rsidP="00377772">
      <w:pPr>
        <w:pStyle w:val="ListBullet"/>
      </w:pPr>
      <w:r w:rsidRPr="00377772">
        <w:t>workplace quality policies and standards relevant to assembling partitions</w:t>
      </w:r>
    </w:p>
    <w:p w:rsidR="00000000" w:rsidRPr="00377772" w:rsidP="00377772">
      <w:pPr>
        <w:pStyle w:val="ListBullet"/>
      </w:pPr>
      <w:r w:rsidRPr="00377772">
        <w:t>safety requirements for assembling partitions</w:t>
      </w:r>
    </w:p>
    <w:p w:rsidR="00000000" w:rsidRPr="00377772" w:rsidP="00377772">
      <w:pPr>
        <w:pStyle w:val="ListBullet"/>
      </w:pPr>
      <w:r w:rsidRPr="00377772">
        <w:t>types and uses of to</w:t>
      </w:r>
      <w:r w:rsidRPr="00377772">
        <w:t xml:space="preserve">ols and equipment required for assembling partitions </w:t>
      </w:r>
    </w:p>
    <w:p w:rsidR="00000000" w:rsidRPr="00377772" w:rsidP="00377772">
      <w:pPr>
        <w:pStyle w:val="ListBullet"/>
      </w:pPr>
      <w:r w:rsidRPr="00377772">
        <w:t>processes for assembling partitions for:</w:t>
      </w:r>
    </w:p>
    <w:p w:rsidR="00000000" w:rsidRPr="00377772" w:rsidP="00377772">
      <w:pPr>
        <w:pStyle w:val="ListBullet2"/>
      </w:pPr>
      <w:r w:rsidRPr="00377772">
        <w:t>pre-glazed panels</w:t>
      </w:r>
    </w:p>
    <w:p w:rsidR="00000000" w:rsidRPr="00377772" w:rsidP="00377772">
      <w:pPr>
        <w:pStyle w:val="ListBullet2"/>
      </w:pPr>
      <w:r w:rsidRPr="00377772">
        <w:t>lined or unlined door units</w:t>
      </w:r>
    </w:p>
    <w:p w:rsidR="00000000" w:rsidRPr="00377772" w:rsidP="00377772">
      <w:pPr>
        <w:pStyle w:val="ListBullet2"/>
      </w:pPr>
      <w:r w:rsidRPr="00377772">
        <w:t>modular and custom window units</w:t>
      </w:r>
    </w:p>
    <w:p w:rsidR="00000000" w:rsidRPr="00377772" w:rsidP="00377772">
      <w:pPr>
        <w:pStyle w:val="ListBullet2"/>
      </w:pPr>
      <w:r w:rsidRPr="00377772">
        <w:t>framed or solid</w:t>
      </w:r>
    </w:p>
    <w:p w:rsidR="00000000" w:rsidRPr="00377772" w:rsidP="00377772">
      <w:pPr>
        <w:pStyle w:val="ListBullet"/>
      </w:pPr>
      <w:r w:rsidRPr="00377772">
        <w:t>fixing and fasteners for assembling partitions</w:t>
      </w:r>
    </w:p>
    <w:p w:rsidR="00000000" w:rsidRPr="00377772" w:rsidP="00377772">
      <w:pPr>
        <w:pStyle w:val="ListBullet"/>
      </w:pPr>
      <w:r w:rsidRPr="00377772">
        <w:t>partition assembly techniques</w:t>
      </w:r>
    </w:p>
    <w:p w:rsidR="00000000" w:rsidRPr="00377772" w:rsidP="00377772">
      <w:pPr>
        <w:pStyle w:val="ListBullet"/>
      </w:pPr>
      <w:r w:rsidRPr="00377772">
        <w:t>partitioning materials and manufacturers’ instructions</w:t>
      </w:r>
    </w:p>
    <w:p w:rsidR="00000000" w:rsidRPr="00377772" w:rsidP="00377772">
      <w:pPr>
        <w:pStyle w:val="ListBullet"/>
      </w:pPr>
      <w:r w:rsidRPr="00377772">
        <w:t>plans, specifications and drawings for partitions</w:t>
      </w:r>
    </w:p>
    <w:p w:rsidR="00000000" w:rsidRPr="00377772" w:rsidP="00377772">
      <w:pPr>
        <w:pStyle w:val="ListBullet"/>
      </w:pPr>
      <w:r w:rsidRPr="00377772">
        <w:t>processes for setting out for assembling partitions.</w:t>
      </w:r>
    </w:p>
    <w:p w:rsidR="00000000" w:rsidRPr="00377772" w:rsidP="00377772">
      <w:pPr>
        <w:pStyle w:val="AllowPageBreak"/>
      </w:pPr>
    </w:p>
    <w:p w:rsidR="00000000" w:rsidRPr="00377772" w:rsidP="00377772">
      <w:pPr>
        <w:pStyle w:val="Heading1"/>
      </w:pPr>
      <w:bookmarkStart w:id="4" w:name="O_1295367"/>
      <w:bookmarkEnd w:id="4"/>
      <w:r w:rsidRPr="00377772">
        <w:t>Assessment Conditions</w:t>
      </w:r>
    </w:p>
    <w:p w:rsidR="00000000" w:rsidRPr="00377772" w:rsidP="00675BF2">
      <w:pPr>
        <w:pStyle w:val="BodyText"/>
      </w:pPr>
      <w:r w:rsidRPr="00377772">
        <w:t>Assessors must meet the req</w:t>
      </w:r>
      <w:r w:rsidRPr="00377772">
        <w:t xml:space="preserve">uirements for assessors contained in the Standards for Registered Training Organisations. </w:t>
      </w:r>
    </w:p>
    <w:p w:rsidR="00000000" w:rsidRPr="00377772" w:rsidP="00675BF2">
      <w:pPr>
        <w:pStyle w:val="BodyText"/>
      </w:pPr>
      <w:r w:rsidRPr="00377772">
        <w:t xml:space="preserve">This unit must be assessed in the workplace or a close simulation reflecting workplace conditions and standards, materials, equipment, activities, responsibilities, </w:t>
      </w:r>
      <w:r w:rsidRPr="00377772">
        <w:t>procedures, safety requirements and environmental considerations.</w:t>
      </w:r>
    </w:p>
    <w:p w:rsidR="00000000" w:rsidRPr="00377772" w:rsidP="00377772">
      <w:pPr>
        <w:pStyle w:val="Heading1"/>
      </w:pPr>
      <w:bookmarkStart w:id="5" w:name="O_1295380"/>
      <w:bookmarkEnd w:id="5"/>
      <w:r w:rsidRPr="00377772">
        <w:t>Links</w:t>
      </w:r>
    </w:p>
    <w:p w:rsidR="00000000" w:rsidRPr="00377772" w:rsidP="00675BF2">
      <w:pPr>
        <w:pStyle w:val="BodyText"/>
      </w:pPr>
      <w:r w:rsidRPr="003777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A1F1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77772" w:rsidP="00377772"/>
    <w:sectPr w:rsidSect="003777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72" w:rsidRPr="00675BF2" w:rsidP="00675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F2" w:rsidP="00377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BF2" w:rsidP="00377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75BF2" w:rsidP="00377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772" w:rsidRPr="00675BF2" w:rsidP="00675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BF2" w:rsidRPr="002D2AF8" w:rsidP="00377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CPCCCA3026 Assemble partitions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75BF2" w:rsidP="00377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40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22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B02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772"/>
  </w:style>
  <w:style w:type="character" w:customStyle="1" w:styleId="Heading1Char">
    <w:name w:val="Heading 1 Char"/>
    <w:basedOn w:val="DefaultParagraphFont"/>
    <w:link w:val="Heading1"/>
    <w:rsid w:val="00377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7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77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772"/>
    <w:rPr>
      <w:b/>
      <w:spacing w:val="0"/>
    </w:rPr>
  </w:style>
  <w:style w:type="paragraph" w:customStyle="1" w:styleId="SuperTitle">
    <w:name w:val="SuperTitle"/>
    <w:basedOn w:val="Title"/>
    <w:rsid w:val="00377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772"/>
    <w:rPr>
      <w:i/>
    </w:rPr>
  </w:style>
  <w:style w:type="paragraph" w:styleId="Caption">
    <w:name w:val="caption"/>
    <w:basedOn w:val="BodyText"/>
    <w:next w:val="Normal"/>
    <w:qFormat/>
    <w:rsid w:val="00377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772"/>
  </w:style>
  <w:style w:type="paragraph" w:styleId="TableofFigures">
    <w:name w:val="table of figures"/>
    <w:basedOn w:val="Normal"/>
    <w:next w:val="Normal"/>
    <w:semiHidden/>
    <w:rsid w:val="00377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7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772"/>
    <w:rPr>
      <w:rFonts w:ascii="Wingdings" w:hAnsi="Wingdings"/>
    </w:rPr>
  </w:style>
  <w:style w:type="paragraph" w:customStyle="1" w:styleId="TableHeading">
    <w:name w:val="Table Heading"/>
    <w:basedOn w:val="HeadingBase"/>
    <w:rsid w:val="00377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772"/>
    <w:rPr>
      <w:color w:val="0033CC"/>
      <w:u w:val="none"/>
    </w:rPr>
  </w:style>
  <w:style w:type="paragraph" w:customStyle="1" w:styleId="BodyTextRight">
    <w:name w:val="Body Text Right"/>
    <w:basedOn w:val="BodyText"/>
    <w:rsid w:val="00377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7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772"/>
    <w:rPr>
      <w:sz w:val="32"/>
    </w:rPr>
  </w:style>
  <w:style w:type="paragraph" w:customStyle="1" w:styleId="HeadingProcedure">
    <w:name w:val="Heading Procedure"/>
    <w:basedOn w:val="HeadingBase"/>
    <w:next w:val="Normal"/>
    <w:rsid w:val="00377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772"/>
    <w:pPr>
      <w:spacing w:before="60" w:after="60"/>
    </w:pPr>
  </w:style>
  <w:style w:type="paragraph" w:styleId="ListContinue">
    <w:name w:val="List Continue"/>
    <w:basedOn w:val="List"/>
    <w:rsid w:val="00377772"/>
    <w:pPr>
      <w:ind w:firstLine="0"/>
    </w:pPr>
  </w:style>
  <w:style w:type="paragraph" w:customStyle="1" w:styleId="ListNote">
    <w:name w:val="List Note"/>
    <w:basedOn w:val="List"/>
    <w:rsid w:val="00377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772"/>
    <w:rPr>
      <w:rFonts w:ascii="Courier New" w:hAnsi="Courier New"/>
    </w:rPr>
  </w:style>
  <w:style w:type="paragraph" w:customStyle="1" w:styleId="NoteBullet">
    <w:name w:val="Note Bullet"/>
    <w:basedOn w:val="Note"/>
    <w:rsid w:val="00377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772"/>
    <w:rPr>
      <w:b/>
      <w:smallCaps/>
    </w:rPr>
  </w:style>
  <w:style w:type="paragraph" w:customStyle="1" w:styleId="TableListNumber">
    <w:name w:val="Table List Number"/>
    <w:basedOn w:val="ListNumber"/>
    <w:rsid w:val="00377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772"/>
    <w:pPr>
      <w:numPr>
        <w:numId w:val="9"/>
      </w:numPr>
    </w:pPr>
  </w:style>
  <w:style w:type="paragraph" w:customStyle="1" w:styleId="ListAlpha2">
    <w:name w:val="List Alpha 2"/>
    <w:basedOn w:val="List2"/>
    <w:rsid w:val="00377772"/>
    <w:pPr>
      <w:numPr>
        <w:numId w:val="8"/>
      </w:numPr>
    </w:pPr>
  </w:style>
  <w:style w:type="paragraph" w:styleId="List2">
    <w:name w:val="List 2"/>
    <w:basedOn w:val="BodyText"/>
    <w:rsid w:val="00377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7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772"/>
    <w:pPr>
      <w:numPr>
        <w:numId w:val="4"/>
      </w:numPr>
    </w:pPr>
  </w:style>
  <w:style w:type="paragraph" w:styleId="ListContinue2">
    <w:name w:val="List Continue 2"/>
    <w:basedOn w:val="List2"/>
    <w:rsid w:val="00377772"/>
    <w:pPr>
      <w:ind w:firstLine="0"/>
    </w:pPr>
  </w:style>
  <w:style w:type="paragraph" w:styleId="ListContinue3">
    <w:name w:val="List Continue 3"/>
    <w:basedOn w:val="List3"/>
    <w:rsid w:val="00377772"/>
    <w:pPr>
      <w:ind w:left="1021" w:firstLine="0"/>
    </w:pPr>
  </w:style>
  <w:style w:type="paragraph" w:styleId="ListContinue4">
    <w:name w:val="List Continue 4"/>
    <w:basedOn w:val="List4"/>
    <w:rsid w:val="00377772"/>
    <w:pPr>
      <w:ind w:firstLine="0"/>
    </w:pPr>
  </w:style>
  <w:style w:type="paragraph" w:styleId="ListContinue5">
    <w:name w:val="List Continue 5"/>
    <w:basedOn w:val="List5"/>
    <w:rsid w:val="00377772"/>
    <w:pPr>
      <w:ind w:firstLine="0"/>
    </w:pPr>
  </w:style>
  <w:style w:type="paragraph" w:styleId="ListNumber3">
    <w:name w:val="List Number 3"/>
    <w:basedOn w:val="List3"/>
    <w:rsid w:val="00377772"/>
    <w:pPr>
      <w:numPr>
        <w:numId w:val="5"/>
      </w:numPr>
    </w:pPr>
  </w:style>
  <w:style w:type="paragraph" w:styleId="ListNumber4">
    <w:name w:val="List Number 4"/>
    <w:basedOn w:val="List4"/>
    <w:rsid w:val="00377772"/>
    <w:pPr>
      <w:numPr>
        <w:numId w:val="6"/>
      </w:numPr>
    </w:pPr>
  </w:style>
  <w:style w:type="paragraph" w:styleId="ListNumber5">
    <w:name w:val="List Number 5"/>
    <w:basedOn w:val="List5"/>
    <w:rsid w:val="00377772"/>
    <w:pPr>
      <w:numPr>
        <w:numId w:val="7"/>
      </w:numPr>
    </w:pPr>
  </w:style>
  <w:style w:type="paragraph" w:styleId="BlockText">
    <w:name w:val="Block Text"/>
    <w:basedOn w:val="Normal"/>
    <w:rsid w:val="00377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772"/>
    <w:rPr>
      <w:sz w:val="16"/>
      <w:vertAlign w:val="superscript"/>
    </w:rPr>
  </w:style>
  <w:style w:type="character" w:customStyle="1" w:styleId="Symbols">
    <w:name w:val="Symbols"/>
    <w:basedOn w:val="DefaultParagraphFont"/>
    <w:rsid w:val="00377772"/>
    <w:rPr>
      <w:rFonts w:ascii="Symbol" w:hAnsi="Symbol"/>
    </w:rPr>
  </w:style>
  <w:style w:type="character" w:customStyle="1" w:styleId="MenuOptions">
    <w:name w:val="Menu Options"/>
    <w:basedOn w:val="DefaultParagraphFont"/>
    <w:rsid w:val="00377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772"/>
    <w:rPr>
      <w:b/>
    </w:rPr>
  </w:style>
  <w:style w:type="character" w:customStyle="1" w:styleId="Underlined">
    <w:name w:val="Underlined"/>
    <w:basedOn w:val="DefaultParagraphFont"/>
    <w:rsid w:val="00377772"/>
    <w:rPr>
      <w:u w:val="single"/>
    </w:rPr>
  </w:style>
  <w:style w:type="paragraph" w:customStyle="1" w:styleId="TableBodyTextRight">
    <w:name w:val="Table Body Text Right"/>
    <w:basedOn w:val="TableBodyText"/>
    <w:rsid w:val="00377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772"/>
    <w:rPr>
      <w:sz w:val="18"/>
    </w:rPr>
  </w:style>
  <w:style w:type="paragraph" w:customStyle="1" w:styleId="BodySmallRight">
    <w:name w:val="Body Small Right"/>
    <w:basedOn w:val="BodyTextRight"/>
    <w:rsid w:val="00377772"/>
    <w:rPr>
      <w:sz w:val="18"/>
      <w:szCs w:val="18"/>
    </w:rPr>
  </w:style>
  <w:style w:type="paragraph" w:customStyle="1" w:styleId="MarginEdition">
    <w:name w:val="Margin Edition"/>
    <w:basedOn w:val="MarginNote"/>
    <w:rsid w:val="00377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772"/>
    <w:rPr>
      <w:sz w:val="2"/>
      <w:szCs w:val="2"/>
    </w:rPr>
  </w:style>
  <w:style w:type="character" w:customStyle="1" w:styleId="Small">
    <w:name w:val="Small"/>
    <w:basedOn w:val="DefaultParagraphFont"/>
    <w:rsid w:val="00377772"/>
    <w:rPr>
      <w:sz w:val="16"/>
    </w:rPr>
  </w:style>
  <w:style w:type="paragraph" w:customStyle="1" w:styleId="WideTable">
    <w:name w:val="Wide Table"/>
    <w:basedOn w:val="Normal"/>
    <w:rsid w:val="00377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772"/>
  </w:style>
  <w:style w:type="paragraph" w:styleId="Quote">
    <w:name w:val="Quote"/>
    <w:basedOn w:val="Heading1"/>
    <w:link w:val="QuoteChar"/>
    <w:qFormat/>
    <w:rsid w:val="00377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772"/>
    <w:pPr>
      <w:pageBreakBefore/>
    </w:pPr>
  </w:style>
  <w:style w:type="paragraph" w:customStyle="1" w:styleId="Border">
    <w:name w:val="Border"/>
    <w:basedOn w:val="Normal"/>
    <w:qFormat/>
    <w:rsid w:val="00377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772"/>
    <w:rPr>
      <w:u w:val="single"/>
    </w:rPr>
  </w:style>
  <w:style w:type="character" w:customStyle="1" w:styleId="BoldandItalics">
    <w:name w:val="Bold and Italics"/>
    <w:qFormat/>
    <w:rsid w:val="00377772"/>
    <w:rPr>
      <w:b/>
      <w:i/>
      <w:u w:val="none"/>
    </w:rPr>
  </w:style>
  <w:style w:type="paragraph" w:styleId="BalloonText">
    <w:name w:val="Balloon Text"/>
    <w:basedOn w:val="Normal"/>
    <w:link w:val="BalloonTextChar"/>
    <w:rsid w:val="00377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772"/>
    <w:pPr>
      <w:spacing w:before="0" w:after="0"/>
    </w:pPr>
  </w:style>
  <w:style w:type="paragraph" w:customStyle="1" w:styleId="BodyTextBold">
    <w:name w:val="Body Text Bold"/>
    <w:basedOn w:val="BodyText"/>
    <w:qFormat/>
    <w:rsid w:val="00377772"/>
    <w:rPr>
      <w:b/>
    </w:rPr>
  </w:style>
  <w:style w:type="character" w:styleId="Hyperlink">
    <w:name w:val="Hyperlink"/>
    <w:basedOn w:val="DefaultParagraphFont"/>
    <w:uiPriority w:val="99"/>
    <w:unhideWhenUsed/>
    <w:rsid w:val="00675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1870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CPCCCA3026 Assemble partitions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