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28B8" w:rsidP="00E928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CPCCCA3024 Install lining, panelling and moulding</w:t>
      </w:r>
      <w:r>
        <w:fldChar w:fldCharType="end"/>
      </w:r>
    </w:p>
    <w:p w:rsidR="00E928B8" w:rsidP="00E928B8">
      <w:pPr>
        <w:pStyle w:val="Version"/>
        <w:sectPr w:rsidSect="001B4B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B4B3C" w:rsidP="001B4B3C">
      <w:pPr>
        <w:pStyle w:val="SuperHeading"/>
      </w:pPr>
      <w:r w:rsidRPr="001B4B3C">
        <w:t>Assessment Requirements for CPCCCA3024 Install lining, panelling and moulding</w:t>
      </w:r>
    </w:p>
    <w:p w:rsidR="00000000" w:rsidRPr="001B4B3C" w:rsidP="001B4B3C">
      <w:pPr>
        <w:pStyle w:val="Heading1"/>
      </w:pPr>
      <w:bookmarkStart w:id="1" w:name="O_1295514"/>
      <w:bookmarkEnd w:id="1"/>
      <w:r w:rsidRPr="001B4B3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1B4B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B3C">
            <w:pPr>
              <w:pStyle w:val="BodyText"/>
              <w:rPr>
                <w:lang w:val="en-NZ"/>
              </w:rPr>
            </w:pPr>
            <w:r w:rsidRPr="001B4B3C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B3C">
            <w:pPr>
              <w:pStyle w:val="BodyText"/>
              <w:rPr>
                <w:lang w:val="en-NZ"/>
              </w:rPr>
            </w:pPr>
            <w:r w:rsidRPr="001B4B3C">
              <w:t>Updated reference to general construction induction training program.</w:t>
            </w:r>
          </w:p>
        </w:tc>
      </w:tr>
      <w:tr w:rsidTr="001B4B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B3C">
            <w:pPr>
              <w:pStyle w:val="BodyText"/>
              <w:rPr>
                <w:lang w:val="en-NZ"/>
              </w:rPr>
            </w:pPr>
            <w:r w:rsidRPr="001B4B3C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4B3C" w:rsidP="001B4B3C">
            <w:pPr>
              <w:pStyle w:val="BodyText"/>
            </w:pPr>
            <w:r w:rsidRPr="001B4B3C">
              <w:t>This version first released with CPC Construction, Plumbing and Services Training Package Release 5.0.</w:t>
            </w:r>
          </w:p>
          <w:p w:rsidR="00000000" w:rsidRPr="001B4B3C" w:rsidP="001B4B3C">
            <w:pPr>
              <w:pStyle w:val="BodyText"/>
            </w:pPr>
            <w:r w:rsidRPr="001B4B3C">
              <w:t>New unit</w:t>
            </w:r>
          </w:p>
        </w:tc>
      </w:tr>
    </w:tbl>
    <w:p w:rsidR="00000000" w:rsidRPr="001B4B3C" w:rsidP="001B4B3C">
      <w:pPr>
        <w:pStyle w:val="BodyText"/>
      </w:pPr>
    </w:p>
    <w:p w:rsidR="00000000" w:rsidRPr="001B4B3C" w:rsidP="001B4B3C">
      <w:pPr>
        <w:pStyle w:val="AllowPageBreak"/>
      </w:pPr>
    </w:p>
    <w:p w:rsidR="00000000" w:rsidRPr="001B4B3C" w:rsidP="001B4B3C">
      <w:pPr>
        <w:pStyle w:val="Heading1"/>
      </w:pPr>
      <w:bookmarkStart w:id="2" w:name="O_1295513"/>
      <w:bookmarkEnd w:id="2"/>
      <w:r w:rsidRPr="001B4B3C">
        <w:t>Performance Evidence</w:t>
      </w:r>
    </w:p>
    <w:p w:rsidR="00000000" w:rsidRPr="001B4B3C" w:rsidP="00E928B8">
      <w:pPr>
        <w:pStyle w:val="BodyText"/>
      </w:pPr>
      <w:r w:rsidRPr="001B4B3C">
        <w:t>To demonstrate competency, a candidate must meet the performance criteria of this unit by completing t</w:t>
      </w:r>
      <w:r w:rsidRPr="001B4B3C">
        <w:t>o specifications:</w:t>
      </w:r>
    </w:p>
    <w:p w:rsidR="00000000" w:rsidRPr="001B4B3C" w:rsidP="001B4B3C">
      <w:pPr>
        <w:pStyle w:val="ListBullet"/>
      </w:pPr>
      <w:r w:rsidRPr="001B4B3C">
        <w:t xml:space="preserve">lining a continuous wall that includes one opening with lining boards to a minimum of 3.0 metres by 2.4 metres </w:t>
      </w:r>
    </w:p>
    <w:p w:rsidR="00000000" w:rsidRPr="001B4B3C" w:rsidP="001B4B3C">
      <w:pPr>
        <w:pStyle w:val="ListBullet"/>
      </w:pPr>
      <w:r w:rsidRPr="001B4B3C">
        <w:t xml:space="preserve">lining a continuous wall that includes one opening with sheet panelling to a minimum of 3.0 metres by 2.4 metres </w:t>
      </w:r>
    </w:p>
    <w:p w:rsidR="00000000" w:rsidRPr="001B4B3C" w:rsidP="001B4B3C">
      <w:pPr>
        <w:pStyle w:val="ListBullet"/>
      </w:pPr>
      <w:r w:rsidRPr="001B4B3C">
        <w:t>fitting profiled architraves to a minimum of one door or one window or a combination of both, with specified margins and tight fitting mitre joints</w:t>
      </w:r>
    </w:p>
    <w:p w:rsidR="00000000" w:rsidRPr="001B4B3C" w:rsidP="001B4B3C">
      <w:pPr>
        <w:pStyle w:val="ListBullet"/>
      </w:pPr>
      <w:r w:rsidRPr="001B4B3C">
        <w:t>cutting and fixing a profiled skirting with a minimum of one internal scribed joint and one external mitre j</w:t>
      </w:r>
      <w:r w:rsidRPr="001B4B3C">
        <w:t>oint with tight fitting joints</w:t>
      </w:r>
    </w:p>
    <w:p w:rsidR="00000000" w:rsidRPr="001B4B3C" w:rsidP="001B4B3C">
      <w:pPr>
        <w:pStyle w:val="ListBullet"/>
      </w:pPr>
      <w:r w:rsidRPr="001B4B3C">
        <w:t>scribing and mitring a Scotia, quad and colonial architrave with a minimum of one internal joint and one external mitre joint with tight fitting joints</w:t>
      </w:r>
    </w:p>
    <w:p w:rsidR="00000000" w:rsidRPr="001B4B3C" w:rsidP="001B4B3C">
      <w:pPr>
        <w:pStyle w:val="ListBullet"/>
      </w:pPr>
      <w:r w:rsidRPr="001B4B3C">
        <w:t xml:space="preserve">constructing a raking mould using either an internal scribed or external </w:t>
      </w:r>
      <w:r w:rsidRPr="001B4B3C">
        <w:t>mitre joint with tight fitting joints.</w:t>
      </w:r>
    </w:p>
    <w:p w:rsidR="00000000" w:rsidRPr="001B4B3C" w:rsidP="001B4B3C">
      <w:pPr>
        <w:pStyle w:val="AllowPageBreak"/>
      </w:pPr>
    </w:p>
    <w:p w:rsidR="00000000" w:rsidRPr="001B4B3C" w:rsidP="001B4B3C">
      <w:pPr>
        <w:pStyle w:val="Heading1"/>
      </w:pPr>
      <w:bookmarkStart w:id="3" w:name="O_1295512"/>
      <w:bookmarkEnd w:id="3"/>
      <w:r w:rsidRPr="001B4B3C">
        <w:t>Knowledge Evidence</w:t>
      </w:r>
    </w:p>
    <w:p w:rsidR="00000000" w:rsidRPr="001B4B3C" w:rsidP="00E928B8">
      <w:pPr>
        <w:pStyle w:val="BodyText"/>
      </w:pPr>
      <w:r w:rsidRPr="001B4B3C">
        <w:t>To be competent in this unit, a candidate must demonstrate knowledge of:</w:t>
      </w:r>
    </w:p>
    <w:p w:rsidR="00000000" w:rsidRPr="001B4B3C" w:rsidP="001B4B3C">
      <w:pPr>
        <w:pStyle w:val="ListBullet"/>
      </w:pPr>
      <w:r w:rsidRPr="001B4B3C">
        <w:t>compliance requirements of the National Construction Code and Australian Standards relating to all aspect</w:t>
      </w:r>
      <w:r w:rsidRPr="001B4B3C">
        <w:t>s of installing lining, panelling and moulding</w:t>
      </w:r>
    </w:p>
    <w:p w:rsidR="00000000" w:rsidRPr="001B4B3C" w:rsidP="001B4B3C">
      <w:pPr>
        <w:pStyle w:val="ListBullet"/>
      </w:pPr>
      <w:r w:rsidRPr="001B4B3C">
        <w:t>workplace quality policies and standards for installing lining, panelling and moulding</w:t>
      </w:r>
    </w:p>
    <w:p w:rsidR="00000000" w:rsidRPr="001B4B3C" w:rsidP="001B4B3C">
      <w:pPr>
        <w:pStyle w:val="ListBullet"/>
      </w:pPr>
      <w:r w:rsidRPr="001B4B3C">
        <w:t>safety requirements for installing lining, panelling and moulding</w:t>
      </w:r>
    </w:p>
    <w:p w:rsidR="00000000" w:rsidRPr="001B4B3C" w:rsidP="001B4B3C">
      <w:pPr>
        <w:pStyle w:val="ListBullet"/>
      </w:pPr>
      <w:r w:rsidRPr="001B4B3C">
        <w:t>types of tools and equipment required for installing lin</w:t>
      </w:r>
      <w:r w:rsidRPr="001B4B3C">
        <w:t>ing, panelling and moulding, and their appropriate uses</w:t>
      </w:r>
    </w:p>
    <w:p w:rsidR="00000000" w:rsidRPr="001B4B3C" w:rsidP="001B4B3C">
      <w:pPr>
        <w:pStyle w:val="ListBullet"/>
      </w:pPr>
      <w:r w:rsidRPr="001B4B3C">
        <w:t>processes for lining of framed walling or battened surfaces to provide a finished surface:</w:t>
      </w:r>
    </w:p>
    <w:p w:rsidR="00000000" w:rsidRPr="001B4B3C" w:rsidP="001B4B3C">
      <w:pPr>
        <w:pStyle w:val="ListBullet2"/>
      </w:pPr>
      <w:r w:rsidRPr="001B4B3C">
        <w:t>all moulding applications where joining occurs at surface intersections and involves change of levels and mo</w:t>
      </w:r>
      <w:r w:rsidRPr="001B4B3C">
        <w:t>uldings running at a slope or rake.</w:t>
      </w:r>
    </w:p>
    <w:p w:rsidR="00000000" w:rsidRPr="001B4B3C" w:rsidP="001B4B3C">
      <w:pPr>
        <w:pStyle w:val="ListBullet2"/>
      </w:pPr>
      <w:r w:rsidRPr="001B4B3C">
        <w:t>junctions of surfaces, which may be at right angles or obtuse or acute angles</w:t>
      </w:r>
    </w:p>
    <w:p w:rsidR="00000000" w:rsidRPr="001B4B3C" w:rsidP="001B4B3C">
      <w:pPr>
        <w:pStyle w:val="ListBullet2"/>
      </w:pPr>
      <w:r w:rsidRPr="001B4B3C">
        <w:t>lining boards, which may be vertical, horizontal or raked</w:t>
      </w:r>
    </w:p>
    <w:p w:rsidR="00000000" w:rsidRPr="001B4B3C" w:rsidP="001B4B3C">
      <w:pPr>
        <w:pStyle w:val="ListBullet"/>
      </w:pPr>
      <w:r w:rsidRPr="001B4B3C">
        <w:t>applications of lining materials:</w:t>
      </w:r>
    </w:p>
    <w:p w:rsidR="00000000" w:rsidRPr="001B4B3C" w:rsidP="001B4B3C">
      <w:pPr>
        <w:pStyle w:val="ListBullet2"/>
      </w:pPr>
      <w:r w:rsidRPr="001B4B3C">
        <w:t>lining, panelling, mouldings, nails, screws, adhesives and gap fillers</w:t>
      </w:r>
    </w:p>
    <w:p w:rsidR="00000000" w:rsidRPr="001B4B3C" w:rsidP="001B4B3C">
      <w:pPr>
        <w:pStyle w:val="ListBullet2"/>
      </w:pPr>
      <w:r w:rsidRPr="001B4B3C">
        <w:t>lining and panelling sheet materials, including lining boards, veneer panelling, plywood, hardboard, MDF board, particle board and fibre cement board</w:t>
      </w:r>
    </w:p>
    <w:p w:rsidR="00000000" w:rsidRPr="001B4B3C" w:rsidP="001B4B3C">
      <w:pPr>
        <w:pStyle w:val="ListBullet2"/>
      </w:pPr>
      <w:r w:rsidRPr="001B4B3C">
        <w:t>to floors, walls, ceilings, windows</w:t>
      </w:r>
      <w:r w:rsidRPr="001B4B3C">
        <w:t>, door frames and jambs, built-in cupboards, built-in robes, fitments and stairs</w:t>
      </w:r>
    </w:p>
    <w:p w:rsidR="00000000" w:rsidRPr="001B4B3C" w:rsidP="001B4B3C">
      <w:pPr>
        <w:pStyle w:val="ListBullet"/>
      </w:pPr>
      <w:r w:rsidRPr="001B4B3C">
        <w:t>preparation of surfaces for lining:</w:t>
      </w:r>
    </w:p>
    <w:p w:rsidR="00000000" w:rsidRPr="001B4B3C" w:rsidP="001B4B3C">
      <w:pPr>
        <w:pStyle w:val="ListBullet2"/>
      </w:pPr>
      <w:r w:rsidRPr="001B4B3C">
        <w:t>fixing of battens to surface</w:t>
      </w:r>
    </w:p>
    <w:p w:rsidR="00000000" w:rsidRPr="001B4B3C" w:rsidP="001B4B3C">
      <w:pPr>
        <w:pStyle w:val="ListBullet2"/>
      </w:pPr>
      <w:r w:rsidRPr="001B4B3C">
        <w:t>trimming of frame members to line</w:t>
      </w:r>
    </w:p>
    <w:p w:rsidR="00000000" w:rsidRPr="001B4B3C" w:rsidP="001B4B3C">
      <w:pPr>
        <w:pStyle w:val="ListBullet2"/>
      </w:pPr>
      <w:r w:rsidRPr="001B4B3C">
        <w:t>fixing of additional noggings</w:t>
      </w:r>
    </w:p>
    <w:p w:rsidR="00000000" w:rsidRPr="001B4B3C" w:rsidP="001B4B3C">
      <w:pPr>
        <w:pStyle w:val="ListBullet2"/>
      </w:pPr>
      <w:r w:rsidRPr="001B4B3C">
        <w:t>packing of frame members</w:t>
      </w:r>
    </w:p>
    <w:p w:rsidR="00000000" w:rsidRPr="001B4B3C" w:rsidP="001B4B3C">
      <w:pPr>
        <w:pStyle w:val="ListBullet2"/>
      </w:pPr>
      <w:r w:rsidRPr="001B4B3C">
        <w:t>wedging of frame me</w:t>
      </w:r>
      <w:r w:rsidRPr="001B4B3C">
        <w:t>mbers</w:t>
      </w:r>
    </w:p>
    <w:p w:rsidR="00000000" w:rsidRPr="001B4B3C" w:rsidP="001B4B3C">
      <w:pPr>
        <w:pStyle w:val="ListBullet"/>
      </w:pPr>
      <w:r w:rsidRPr="001B4B3C">
        <w:t>various mouldings:</w:t>
      </w:r>
    </w:p>
    <w:p w:rsidR="00000000" w:rsidRPr="001B4B3C" w:rsidP="001B4B3C">
      <w:pPr>
        <w:pStyle w:val="ListBullet2"/>
      </w:pPr>
      <w:r w:rsidRPr="001B4B3C">
        <w:t>beading (flat, quad, cover strips and nosings)</w:t>
      </w:r>
    </w:p>
    <w:p w:rsidR="00000000" w:rsidRPr="001B4B3C" w:rsidP="001B4B3C">
      <w:pPr>
        <w:pStyle w:val="ListBullet2"/>
      </w:pPr>
      <w:r w:rsidRPr="001B4B3C">
        <w:t>bull nosed</w:t>
      </w:r>
    </w:p>
    <w:p w:rsidR="00000000" w:rsidRPr="001B4B3C" w:rsidP="001B4B3C">
      <w:pPr>
        <w:pStyle w:val="ListBullet2"/>
      </w:pPr>
      <w:r w:rsidRPr="001B4B3C">
        <w:t>multi-curved</w:t>
      </w:r>
    </w:p>
    <w:p w:rsidR="00000000" w:rsidRPr="001B4B3C" w:rsidP="001B4B3C">
      <w:pPr>
        <w:pStyle w:val="ListBullet2"/>
      </w:pPr>
      <w:r w:rsidRPr="001B4B3C">
        <w:t>ornate period profile</w:t>
      </w:r>
    </w:p>
    <w:p w:rsidR="00000000" w:rsidRPr="001B4B3C" w:rsidP="001B4B3C">
      <w:pPr>
        <w:pStyle w:val="ListBullet2"/>
      </w:pPr>
      <w:r w:rsidRPr="001B4B3C">
        <w:t>Scotia</w:t>
      </w:r>
    </w:p>
    <w:p w:rsidR="00000000" w:rsidRPr="001B4B3C" w:rsidP="001B4B3C">
      <w:pPr>
        <w:pStyle w:val="ListBullet2"/>
      </w:pPr>
      <w:r w:rsidRPr="001B4B3C">
        <w:t>splayed</w:t>
      </w:r>
    </w:p>
    <w:p w:rsidR="00000000" w:rsidRPr="001B4B3C" w:rsidP="001B4B3C">
      <w:pPr>
        <w:pStyle w:val="ListBullet2"/>
      </w:pPr>
      <w:r w:rsidRPr="001B4B3C">
        <w:t>square</w:t>
      </w:r>
    </w:p>
    <w:p w:rsidR="00000000" w:rsidRPr="001B4B3C" w:rsidP="001B4B3C">
      <w:pPr>
        <w:pStyle w:val="ListBullet"/>
      </w:pPr>
      <w:r w:rsidRPr="001B4B3C">
        <w:t>edging:</w:t>
      </w:r>
    </w:p>
    <w:p w:rsidR="00000000" w:rsidRPr="001B4B3C" w:rsidP="001B4B3C">
      <w:pPr>
        <w:pStyle w:val="ListBullet2"/>
      </w:pPr>
      <w:r w:rsidRPr="001B4B3C">
        <w:t>architrave</w:t>
      </w:r>
    </w:p>
    <w:p w:rsidR="00000000" w:rsidRPr="001B4B3C" w:rsidP="001B4B3C">
      <w:pPr>
        <w:pStyle w:val="ListBullet2"/>
      </w:pPr>
      <w:r w:rsidRPr="001B4B3C">
        <w:t>raking moulds</w:t>
      </w:r>
    </w:p>
    <w:p w:rsidR="00000000" w:rsidRPr="001B4B3C" w:rsidP="001B4B3C">
      <w:pPr>
        <w:pStyle w:val="ListBullet2"/>
      </w:pPr>
      <w:r w:rsidRPr="001B4B3C">
        <w:t>skirting</w:t>
      </w:r>
    </w:p>
    <w:p w:rsidR="00000000" w:rsidRPr="001B4B3C" w:rsidP="001B4B3C">
      <w:pPr>
        <w:pStyle w:val="ListBullet"/>
      </w:pPr>
      <w:r w:rsidRPr="001B4B3C">
        <w:t>joints.</w:t>
      </w:r>
    </w:p>
    <w:p w:rsidR="00000000" w:rsidRPr="001B4B3C" w:rsidP="001B4B3C">
      <w:pPr>
        <w:pStyle w:val="AllowPageBreak"/>
      </w:pPr>
    </w:p>
    <w:p w:rsidR="00000000" w:rsidRPr="001B4B3C" w:rsidP="001B4B3C">
      <w:pPr>
        <w:pStyle w:val="Heading1"/>
      </w:pPr>
      <w:bookmarkStart w:id="4" w:name="O_1295511"/>
      <w:bookmarkEnd w:id="4"/>
      <w:r w:rsidRPr="001B4B3C">
        <w:t>Assessment Conditions</w:t>
      </w:r>
    </w:p>
    <w:p w:rsidR="00000000" w:rsidRPr="001B4B3C" w:rsidP="00E928B8">
      <w:pPr>
        <w:pStyle w:val="BodyText"/>
      </w:pPr>
      <w:r w:rsidRPr="001B4B3C">
        <w:t xml:space="preserve">Assessors must meet the requirements for assessors contained in the Standards for Registered Training Organisations. </w:t>
      </w:r>
    </w:p>
    <w:p w:rsidR="00E928B8" w:rsidP="00E928B8">
      <w:pPr>
        <w:pStyle w:val="BodyText"/>
      </w:pPr>
      <w:r w:rsidRPr="001B4B3C">
        <w:t>This unit must be assessed in the workplace or a close simulation using realistic workplace conditions and standards, materials, activitie</w:t>
      </w:r>
      <w:r w:rsidRPr="001B4B3C">
        <w:t>s, responsibilities, procedures, safety requirements and environmental considerations.</w:t>
      </w:r>
    </w:p>
    <w:p w:rsidR="00000000" w:rsidRPr="001B4B3C" w:rsidP="001B4B3C">
      <w:pPr>
        <w:pStyle w:val="Heading1"/>
      </w:pPr>
      <w:bookmarkStart w:id="5" w:name="O_1295524"/>
      <w:bookmarkEnd w:id="5"/>
      <w:r w:rsidRPr="001B4B3C">
        <w:t>Links</w:t>
      </w:r>
    </w:p>
    <w:p w:rsidR="00000000" w:rsidRPr="001B4B3C" w:rsidP="00E928B8">
      <w:pPr>
        <w:pStyle w:val="BodyText"/>
      </w:pPr>
      <w:r w:rsidRPr="001B4B3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A02729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B4B3C" w:rsidP="001B4B3C"/>
    <w:sectPr w:rsidSect="001B4B3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B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B3C" w:rsidRPr="00E928B8" w:rsidP="00E928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B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8B8" w:rsidP="001B4B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928B8" w:rsidP="001B4B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E928B8" w:rsidP="001B4B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B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8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4B3C" w:rsidRPr="00E928B8" w:rsidP="00E928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B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8B8" w:rsidRPr="002D2AF8" w:rsidP="001B4B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CPCCCA3024 Install lining, panelling and moulding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E928B8" w:rsidP="001B4B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8F0A6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35E15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CD277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4B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4B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4B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4B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4B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4B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4B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4B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4B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4B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4B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4B3C"/>
  </w:style>
  <w:style w:type="character" w:customStyle="1" w:styleId="Heading1Char">
    <w:name w:val="Heading 1 Char"/>
    <w:basedOn w:val="DefaultParagraphFont"/>
    <w:link w:val="Heading1"/>
    <w:rsid w:val="001B4B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4B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4B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4B3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B4B3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B4B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4B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4B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4B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4B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4B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4B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4B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4B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4B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4B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4B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4B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4B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4B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4B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4B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4B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4B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4B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4B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4B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B4B3C"/>
    <w:rPr>
      <w:b/>
      <w:spacing w:val="0"/>
    </w:rPr>
  </w:style>
  <w:style w:type="paragraph" w:customStyle="1" w:styleId="SuperTitle">
    <w:name w:val="SuperTitle"/>
    <w:basedOn w:val="Title"/>
    <w:rsid w:val="001B4B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4B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4B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B4B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4B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4B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4B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4B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4B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4B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4B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4B3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4B3C"/>
    <w:rPr>
      <w:i/>
    </w:rPr>
  </w:style>
  <w:style w:type="paragraph" w:styleId="Caption">
    <w:name w:val="caption"/>
    <w:basedOn w:val="BodyText"/>
    <w:next w:val="Normal"/>
    <w:qFormat/>
    <w:rsid w:val="001B4B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4B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4B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4B3C"/>
  </w:style>
  <w:style w:type="paragraph" w:styleId="TableofFigures">
    <w:name w:val="table of figures"/>
    <w:basedOn w:val="Normal"/>
    <w:next w:val="Normal"/>
    <w:semiHidden/>
    <w:rsid w:val="001B4B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4B3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B4B3C"/>
    <w:rPr>
      <w:rFonts w:ascii="Wingdings" w:hAnsi="Wingdings"/>
    </w:rPr>
  </w:style>
  <w:style w:type="paragraph" w:customStyle="1" w:styleId="TableHeading">
    <w:name w:val="Table Heading"/>
    <w:basedOn w:val="HeadingBase"/>
    <w:rsid w:val="001B4B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4B3C"/>
    <w:rPr>
      <w:color w:val="0033CC"/>
      <w:u w:val="none"/>
    </w:rPr>
  </w:style>
  <w:style w:type="paragraph" w:customStyle="1" w:styleId="BodyTextRight">
    <w:name w:val="Body Text Right"/>
    <w:basedOn w:val="BodyText"/>
    <w:rsid w:val="001B4B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4B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4B3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4B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4B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4B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4B3C"/>
    <w:rPr>
      <w:sz w:val="32"/>
    </w:rPr>
  </w:style>
  <w:style w:type="paragraph" w:customStyle="1" w:styleId="HeadingProcedure">
    <w:name w:val="Heading Procedure"/>
    <w:basedOn w:val="HeadingBase"/>
    <w:next w:val="Normal"/>
    <w:rsid w:val="001B4B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4B3C"/>
    <w:pPr>
      <w:spacing w:before="60" w:after="60"/>
    </w:pPr>
  </w:style>
  <w:style w:type="paragraph" w:styleId="ListContinue">
    <w:name w:val="List Continue"/>
    <w:basedOn w:val="List"/>
    <w:rsid w:val="001B4B3C"/>
    <w:pPr>
      <w:ind w:firstLine="0"/>
    </w:pPr>
  </w:style>
  <w:style w:type="paragraph" w:customStyle="1" w:styleId="ListNote">
    <w:name w:val="List Note"/>
    <w:basedOn w:val="List"/>
    <w:rsid w:val="001B4B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4B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4B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4B3C"/>
    <w:rPr>
      <w:rFonts w:ascii="Courier New" w:hAnsi="Courier New"/>
    </w:rPr>
  </w:style>
  <w:style w:type="paragraph" w:customStyle="1" w:styleId="NoteBullet">
    <w:name w:val="Note Bullet"/>
    <w:basedOn w:val="Note"/>
    <w:rsid w:val="001B4B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4B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4B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4B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4B3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B4B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4B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4B3C"/>
    <w:rPr>
      <w:b/>
      <w:smallCaps/>
    </w:rPr>
  </w:style>
  <w:style w:type="paragraph" w:customStyle="1" w:styleId="TableListNumber">
    <w:name w:val="Table List Number"/>
    <w:basedOn w:val="ListNumber"/>
    <w:rsid w:val="001B4B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4B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4B3C"/>
    <w:pPr>
      <w:numPr>
        <w:numId w:val="9"/>
      </w:numPr>
    </w:pPr>
  </w:style>
  <w:style w:type="paragraph" w:customStyle="1" w:styleId="ListAlpha2">
    <w:name w:val="List Alpha 2"/>
    <w:basedOn w:val="List2"/>
    <w:rsid w:val="001B4B3C"/>
    <w:pPr>
      <w:numPr>
        <w:numId w:val="8"/>
      </w:numPr>
    </w:pPr>
  </w:style>
  <w:style w:type="paragraph" w:styleId="List2">
    <w:name w:val="List 2"/>
    <w:basedOn w:val="BodyText"/>
    <w:rsid w:val="001B4B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4B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4B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4B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4B3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4B3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B4B3C"/>
    <w:pPr>
      <w:numPr>
        <w:numId w:val="4"/>
      </w:numPr>
    </w:pPr>
  </w:style>
  <w:style w:type="paragraph" w:styleId="ListContinue2">
    <w:name w:val="List Continue 2"/>
    <w:basedOn w:val="List2"/>
    <w:rsid w:val="001B4B3C"/>
    <w:pPr>
      <w:ind w:firstLine="0"/>
    </w:pPr>
  </w:style>
  <w:style w:type="paragraph" w:styleId="ListContinue3">
    <w:name w:val="List Continue 3"/>
    <w:basedOn w:val="List3"/>
    <w:rsid w:val="001B4B3C"/>
    <w:pPr>
      <w:ind w:left="1021" w:firstLine="0"/>
    </w:pPr>
  </w:style>
  <w:style w:type="paragraph" w:styleId="ListContinue4">
    <w:name w:val="List Continue 4"/>
    <w:basedOn w:val="List4"/>
    <w:rsid w:val="001B4B3C"/>
    <w:pPr>
      <w:ind w:firstLine="0"/>
    </w:pPr>
  </w:style>
  <w:style w:type="paragraph" w:styleId="ListContinue5">
    <w:name w:val="List Continue 5"/>
    <w:basedOn w:val="List5"/>
    <w:rsid w:val="001B4B3C"/>
    <w:pPr>
      <w:ind w:firstLine="0"/>
    </w:pPr>
  </w:style>
  <w:style w:type="paragraph" w:styleId="ListNumber3">
    <w:name w:val="List Number 3"/>
    <w:basedOn w:val="List3"/>
    <w:rsid w:val="001B4B3C"/>
    <w:pPr>
      <w:numPr>
        <w:numId w:val="5"/>
      </w:numPr>
    </w:pPr>
  </w:style>
  <w:style w:type="paragraph" w:styleId="ListNumber4">
    <w:name w:val="List Number 4"/>
    <w:basedOn w:val="List4"/>
    <w:rsid w:val="001B4B3C"/>
    <w:pPr>
      <w:numPr>
        <w:numId w:val="6"/>
      </w:numPr>
    </w:pPr>
  </w:style>
  <w:style w:type="paragraph" w:styleId="ListNumber5">
    <w:name w:val="List Number 5"/>
    <w:basedOn w:val="List5"/>
    <w:rsid w:val="001B4B3C"/>
    <w:pPr>
      <w:numPr>
        <w:numId w:val="7"/>
      </w:numPr>
    </w:pPr>
  </w:style>
  <w:style w:type="paragraph" w:styleId="BlockText">
    <w:name w:val="Block Text"/>
    <w:basedOn w:val="Normal"/>
    <w:rsid w:val="001B4B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4B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4B3C"/>
    <w:rPr>
      <w:sz w:val="16"/>
      <w:vertAlign w:val="superscript"/>
    </w:rPr>
  </w:style>
  <w:style w:type="character" w:customStyle="1" w:styleId="Symbols">
    <w:name w:val="Symbols"/>
    <w:basedOn w:val="DefaultParagraphFont"/>
    <w:rsid w:val="001B4B3C"/>
    <w:rPr>
      <w:rFonts w:ascii="Symbol" w:hAnsi="Symbol"/>
    </w:rPr>
  </w:style>
  <w:style w:type="character" w:customStyle="1" w:styleId="MenuOptions">
    <w:name w:val="Menu Options"/>
    <w:basedOn w:val="DefaultParagraphFont"/>
    <w:rsid w:val="001B4B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4B3C"/>
    <w:rPr>
      <w:b/>
    </w:rPr>
  </w:style>
  <w:style w:type="character" w:customStyle="1" w:styleId="Underlined">
    <w:name w:val="Underlined"/>
    <w:basedOn w:val="DefaultParagraphFont"/>
    <w:rsid w:val="001B4B3C"/>
    <w:rPr>
      <w:u w:val="single"/>
    </w:rPr>
  </w:style>
  <w:style w:type="paragraph" w:customStyle="1" w:styleId="TableBodyTextRight">
    <w:name w:val="Table Body Text Right"/>
    <w:basedOn w:val="TableBodyText"/>
    <w:rsid w:val="001B4B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4B3C"/>
    <w:rPr>
      <w:sz w:val="18"/>
    </w:rPr>
  </w:style>
  <w:style w:type="paragraph" w:customStyle="1" w:styleId="BodySmallRight">
    <w:name w:val="Body Small Right"/>
    <w:basedOn w:val="BodyTextRight"/>
    <w:rsid w:val="001B4B3C"/>
    <w:rPr>
      <w:sz w:val="18"/>
      <w:szCs w:val="18"/>
    </w:rPr>
  </w:style>
  <w:style w:type="paragraph" w:customStyle="1" w:styleId="MarginEdition">
    <w:name w:val="Margin Edition"/>
    <w:basedOn w:val="MarginNote"/>
    <w:rsid w:val="001B4B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4B3C"/>
    <w:rPr>
      <w:sz w:val="2"/>
      <w:szCs w:val="2"/>
    </w:rPr>
  </w:style>
  <w:style w:type="character" w:customStyle="1" w:styleId="Small">
    <w:name w:val="Small"/>
    <w:basedOn w:val="DefaultParagraphFont"/>
    <w:rsid w:val="001B4B3C"/>
    <w:rPr>
      <w:sz w:val="16"/>
    </w:rPr>
  </w:style>
  <w:style w:type="paragraph" w:customStyle="1" w:styleId="WideTable">
    <w:name w:val="Wide Table"/>
    <w:basedOn w:val="Normal"/>
    <w:rsid w:val="001B4B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4B3C"/>
  </w:style>
  <w:style w:type="paragraph" w:styleId="Quote">
    <w:name w:val="Quote"/>
    <w:basedOn w:val="Heading1"/>
    <w:link w:val="QuoteChar"/>
    <w:qFormat/>
    <w:rsid w:val="001B4B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4B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4B3C"/>
    <w:pPr>
      <w:pageBreakBefore/>
    </w:pPr>
  </w:style>
  <w:style w:type="paragraph" w:customStyle="1" w:styleId="Border">
    <w:name w:val="Border"/>
    <w:basedOn w:val="Normal"/>
    <w:qFormat/>
    <w:rsid w:val="001B4B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4B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4B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4B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4B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4B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4B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4B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4B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4B3C"/>
    <w:rPr>
      <w:u w:val="single"/>
    </w:rPr>
  </w:style>
  <w:style w:type="character" w:customStyle="1" w:styleId="BoldandItalics">
    <w:name w:val="Bold and Italics"/>
    <w:qFormat/>
    <w:rsid w:val="001B4B3C"/>
    <w:rPr>
      <w:b/>
      <w:i/>
      <w:u w:val="none"/>
    </w:rPr>
  </w:style>
  <w:style w:type="paragraph" w:styleId="BalloonText">
    <w:name w:val="Balloon Text"/>
    <w:basedOn w:val="Normal"/>
    <w:link w:val="BalloonTextChar"/>
    <w:rsid w:val="001B4B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4B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4B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4B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4B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4B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4B3C"/>
    <w:pPr>
      <w:spacing w:before="0" w:after="0"/>
    </w:pPr>
  </w:style>
  <w:style w:type="paragraph" w:customStyle="1" w:styleId="BodyTextBold">
    <w:name w:val="Body Text Bold"/>
    <w:basedOn w:val="BodyText"/>
    <w:qFormat/>
    <w:rsid w:val="001B4B3C"/>
    <w:rPr>
      <w:b/>
    </w:rPr>
  </w:style>
  <w:style w:type="character" w:styleId="Hyperlink">
    <w:name w:val="Hyperlink"/>
    <w:basedOn w:val="DefaultParagraphFont"/>
    <w:uiPriority w:val="99"/>
    <w:unhideWhenUsed/>
    <w:rsid w:val="00E928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502</Words>
  <Characters>3114</Characters>
  <Application>Microsoft Office Word</Application>
  <DocSecurity>0</DocSecurity>
  <Lines>86</Lines>
  <Paragraphs>65</Paragraphs>
  <ScaleCrop>false</ScaleCrop>
  <Company>Author-it Software Corporation Ltd.</Company>
  <LinksUpToDate>false</LinksUpToDate>
  <CharactersWithSpaces>3551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CPCCCA3024 Install lining, panelling and moulding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2024-12-24T01:20:00Z</dcterms:created>
  <dcterms:modified xsi:type="dcterms:W3CDTF">2024-12-24T01:20:00Z</dcterms:modified>
</cp:coreProperties>
</file>