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7DA" w:rsidP="00C63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CPCCCA3011 Refurbish timber sashes to window frames</w:t>
      </w:r>
      <w:r>
        <w:fldChar w:fldCharType="end"/>
      </w:r>
    </w:p>
    <w:p w:rsidR="00C637DA" w:rsidP="00C637DA">
      <w:pPr>
        <w:pStyle w:val="Version"/>
        <w:sectPr w:rsidSect="00C94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4ADE" w:rsidP="00C94ADE">
      <w:pPr>
        <w:pStyle w:val="SuperHeading"/>
      </w:pPr>
      <w:r w:rsidRPr="00C94ADE">
        <w:t>CPCCCA3011 Refurbish timber sashes to window frames</w:t>
      </w:r>
    </w:p>
    <w:p w:rsidR="00000000" w:rsidRPr="00C94ADE" w:rsidP="00C94ADE">
      <w:pPr>
        <w:pStyle w:val="Heading1"/>
      </w:pPr>
      <w:bookmarkStart w:id="1" w:name="O_1295714"/>
      <w:bookmarkEnd w:id="1"/>
      <w:r w:rsidRPr="00C94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Updated reference to general construction induction training program.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DE" w:rsidP="00C94ADE">
            <w:pPr>
              <w:pStyle w:val="BodyText"/>
            </w:pPr>
            <w:r w:rsidRPr="00C94ADE">
              <w:t>This version first released with CPC Construction, Plumbing and Services Training Package Release 6.5.</w:t>
            </w:r>
          </w:p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Correction of title of Element 4</w:t>
            </w:r>
            <w:r w:rsidRPr="00C94ADE">
              <w:t xml:space="preserve"> to read:  Clean up.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DE" w:rsidP="00C94ADE">
            <w:pPr>
              <w:pStyle w:val="BodyText"/>
            </w:pPr>
            <w:r w:rsidRPr="00C94ADE">
              <w:t>This version first released with CPC Construction, Plumbing and Services Training Package Release 5.0.</w:t>
            </w:r>
          </w:p>
          <w:p w:rsidR="00000000" w:rsidRPr="00C94ADE" w:rsidP="00C94ADE">
            <w:pPr>
              <w:pStyle w:val="BodyText"/>
            </w:pPr>
            <w:r w:rsidRPr="00C94ADE">
              <w:t xml:space="preserve">Supersedes and is equivalent to CPCCCA3011A Refurbish timber sashes to window frames.  Updated to meet the Standards for </w:t>
            </w:r>
            <w:r w:rsidRPr="00C94ADE">
              <w:t>Training Packages 2012.</w:t>
            </w:r>
          </w:p>
        </w:tc>
      </w:tr>
    </w:tbl>
    <w:p w:rsidR="00000000" w:rsidRPr="00C94ADE" w:rsidP="00C94ADE">
      <w:pPr>
        <w:pStyle w:val="BodyText"/>
      </w:pPr>
    </w:p>
    <w:p w:rsidR="00000000" w:rsidRPr="00C94ADE" w:rsidP="00C94ADE">
      <w:pPr>
        <w:pStyle w:val="AllowPageBreak"/>
      </w:pPr>
    </w:p>
    <w:p w:rsidR="00000000" w:rsidRPr="00C94ADE" w:rsidP="00C94ADE">
      <w:pPr>
        <w:pStyle w:val="Heading1"/>
      </w:pPr>
      <w:bookmarkStart w:id="2" w:name="O_1295713"/>
      <w:bookmarkEnd w:id="2"/>
      <w:r w:rsidRPr="00C94ADE">
        <w:t>Application</w:t>
      </w:r>
    </w:p>
    <w:p w:rsidR="00000000" w:rsidRPr="00C94ADE" w:rsidP="00C637DA">
      <w:pPr>
        <w:pStyle w:val="BodyText"/>
      </w:pPr>
      <w:r w:rsidRPr="00C94ADE">
        <w:t>This unit of competency specifies the skills and knowledge required to refurbish timber sashes to window frames to rectify operation of external windows, meeting all relevant requirements of the Nati</w:t>
      </w:r>
      <w:r w:rsidRPr="00C94ADE">
        <w:t xml:space="preserve">onal Construction Code (NCC), Australian Standards, work health and safety (WHS), and Commonwealth and state or territory legislation. </w:t>
      </w:r>
    </w:p>
    <w:p w:rsidR="00000000" w:rsidRPr="00C94ADE" w:rsidP="00C637DA">
      <w:pPr>
        <w:pStyle w:val="BodyText"/>
      </w:pPr>
      <w:r w:rsidRPr="00C94ADE">
        <w:t>Completion of the general construction induction training program specified by the model Code of Practice for Constructi</w:t>
      </w:r>
      <w:r w:rsidRPr="00C94ADE">
        <w:t xml:space="preserve">on Work is required for any person who is to carry out construction work. Achievement of </w:t>
      </w:r>
      <w:r w:rsidRPr="00C94ADE">
        <w:rPr>
          <w:rStyle w:val="Emphasis"/>
        </w:rPr>
        <w:t>CPCWHS1001</w:t>
      </w:r>
      <w:r w:rsidRPr="00C94ADE">
        <w:t xml:space="preserve"> </w:t>
      </w:r>
      <w:r w:rsidRPr="00C94ADE">
        <w:rPr>
          <w:rStyle w:val="Emphasis"/>
        </w:rPr>
        <w:t>Prepare to work safely in the construction industry</w:t>
      </w:r>
      <w:r w:rsidRPr="00C94ADE">
        <w:t xml:space="preserve"> meets this requirement.</w:t>
      </w:r>
    </w:p>
    <w:p w:rsidR="00000000" w:rsidRPr="00C94ADE" w:rsidP="00C637DA">
      <w:pPr>
        <w:pStyle w:val="BodyText"/>
      </w:pPr>
      <w:r w:rsidRPr="00C94ADE">
        <w:t>No licensing, legislative or certification requirements apply to this unit at th</w:t>
      </w:r>
      <w:r w:rsidRPr="00C94ADE">
        <w:t>e time of publication.</w:t>
      </w:r>
    </w:p>
    <w:p w:rsidR="00000000" w:rsidRPr="00C94ADE" w:rsidP="00C94ADE">
      <w:pPr>
        <w:pStyle w:val="Heading1"/>
      </w:pPr>
      <w:bookmarkStart w:id="3" w:name="O_1295712"/>
      <w:bookmarkEnd w:id="3"/>
      <w:r w:rsidRPr="00C94ADE">
        <w:t>Pre-requisite Unit</w:t>
      </w:r>
    </w:p>
    <w:p w:rsidR="00000000" w:rsidRPr="00C94ADE" w:rsidP="00C637DA">
      <w:pPr>
        <w:pStyle w:val="BodyText"/>
      </w:pPr>
      <w:r w:rsidRPr="00C94ADE">
        <w:t xml:space="preserve">CPCCWHS2001 Apply WHS requirements, policies and procedures in the construction industry. </w:t>
      </w:r>
    </w:p>
    <w:p w:rsidR="00000000" w:rsidRPr="00C94ADE" w:rsidP="00C94ADE">
      <w:pPr>
        <w:pStyle w:val="Heading1"/>
      </w:pPr>
      <w:bookmarkStart w:id="4" w:name="O_1295711"/>
      <w:bookmarkEnd w:id="4"/>
      <w:r w:rsidRPr="00C94ADE">
        <w:t>Unit Sector</w:t>
      </w:r>
    </w:p>
    <w:p w:rsidR="00000000" w:rsidRPr="00C94ADE" w:rsidP="00C637DA">
      <w:pPr>
        <w:pStyle w:val="BodyText"/>
      </w:pPr>
      <w:r w:rsidRPr="00C94ADE">
        <w:t>Carpentry and Joinery</w:t>
      </w:r>
    </w:p>
    <w:p w:rsidR="00000000" w:rsidRPr="00C94ADE" w:rsidP="00C94ADE">
      <w:pPr>
        <w:pStyle w:val="Heading1"/>
      </w:pPr>
      <w:bookmarkStart w:id="5" w:name="O_1295710"/>
      <w:bookmarkEnd w:id="5"/>
      <w:r w:rsidRPr="00C94A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 xml:space="preserve">Elements describe the </w:t>
            </w:r>
            <w:r w:rsidRPr="00C94ADE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 xml:space="preserve">Performance criteria describe what needs to be done to </w:t>
            </w:r>
            <w:r w:rsidRPr="00C94ADE">
              <w:t>demonstrate achievement of the element.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 xml:space="preserve">Read and interpret work instructions and plan sequence of </w:t>
            </w:r>
            <w:r w:rsidRPr="00C94ADE">
              <w:t>work.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Plan all work to comply with laws and regulations, the National Construction Code (NCC), Australian Standards, work health and safety (WHS) and environmental requirements, manufacturers’</w:t>
            </w:r>
            <w:r w:rsidRPr="00C94ADE">
              <w:t xml:space="preserve"> specifications, workplace requirements, drawings and specifications.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Select tools and equipment, check for serviceability and report any faults.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Select and use personal protective equipment (PPE) for each part of the task.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Inspect work site, assess hazards and apply risk controls, including required signage and barricades.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Select materials required for task, calculate quantities, handle safely and prepare and position ready for use.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Refurbish casement/awning windows.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Remove sash and hardware.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Refurbish, fit and hang sash to correct margins.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Fit window hardware.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Refurbish double hung windows.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Remove sashes from frame in correct sequence.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Refurbish and fit sashes to correct margins.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Fit sash cords and weights or spiral balances or spring balances, check and adjust.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Fit window hardware and mouldings.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Clean up, meeting all legislative and workplace requirements for safety, waste disposal and materials handling.</w:t>
            </w:r>
          </w:p>
        </w:tc>
      </w:tr>
      <w:tr w:rsidTr="00C9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DE">
            <w:pPr>
              <w:pStyle w:val="BodyText"/>
              <w:rPr>
                <w:lang w:val="en-NZ"/>
              </w:rPr>
            </w:pPr>
            <w:r w:rsidRPr="00C94AD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DE" w:rsidP="00C94ADE">
            <w:pPr>
              <w:pStyle w:val="BodyText"/>
            </w:pPr>
            <w:r w:rsidRPr="00C94ADE">
              <w:t xml:space="preserve">Check, maintain and store tools and equipment and </w:t>
            </w:r>
            <w:r w:rsidRPr="00C94ADE">
              <w:t>report any faults.</w:t>
            </w:r>
          </w:p>
        </w:tc>
      </w:tr>
    </w:tbl>
    <w:p w:rsidR="00C637DA" w:rsidP="00C94ADE">
      <w:pPr>
        <w:pStyle w:val="BodyText"/>
      </w:pPr>
    </w:p>
    <w:p w:rsidR="00C637DA" w:rsidP="00C94ADE">
      <w:pPr>
        <w:pStyle w:val="BodyText"/>
      </w:pPr>
    </w:p>
    <w:p w:rsidR="00000000" w:rsidRPr="00C94ADE" w:rsidP="00C94ADE">
      <w:pPr>
        <w:pStyle w:val="Heading1"/>
      </w:pPr>
      <w:bookmarkStart w:id="6" w:name="O_1295709"/>
      <w:bookmarkEnd w:id="6"/>
      <w:r w:rsidRPr="00C94ADE">
        <w:t>Foundation Skills</w:t>
      </w:r>
    </w:p>
    <w:p w:rsidR="00000000" w:rsidRPr="00C94ADE" w:rsidP="00C637DA">
      <w:pPr>
        <w:pStyle w:val="BodyText"/>
      </w:pPr>
      <w:r w:rsidRPr="00C94ADE">
        <w:t xml:space="preserve">Foundation skills </w:t>
      </w:r>
      <w:r w:rsidRPr="00C94ADE">
        <w:t xml:space="preserve">essential to performance are explicit in the performance criteria of this unit of competency. </w:t>
      </w:r>
    </w:p>
    <w:p w:rsidR="00000000" w:rsidRPr="00C94ADE" w:rsidP="00C94ADE">
      <w:pPr>
        <w:pStyle w:val="Heading1"/>
      </w:pPr>
      <w:bookmarkStart w:id="7" w:name="O_1295708"/>
      <w:bookmarkEnd w:id="7"/>
      <w:r w:rsidRPr="00C94ADE">
        <w:t>Unit Mapping Information</w:t>
      </w:r>
    </w:p>
    <w:p w:rsidR="00000000" w:rsidRPr="00C94ADE" w:rsidP="00C637DA">
      <w:pPr>
        <w:pStyle w:val="BodyText"/>
      </w:pPr>
      <w:r w:rsidRPr="00C94ADE">
        <w:t>Supersedes and is equivalent to CPCCCA3011A Refurbish timber sashes to window frames.</w:t>
      </w:r>
    </w:p>
    <w:p w:rsidR="00000000" w:rsidRPr="00C94ADE" w:rsidP="00C94ADE">
      <w:pPr>
        <w:pStyle w:val="Heading1"/>
      </w:pPr>
      <w:bookmarkStart w:id="8" w:name="O_1295715"/>
      <w:bookmarkEnd w:id="8"/>
      <w:r w:rsidRPr="00C94ADE">
        <w:t>Links</w:t>
      </w:r>
    </w:p>
    <w:p w:rsidR="00000000" w:rsidRPr="00C94ADE" w:rsidP="00C637DA">
      <w:pPr>
        <w:pStyle w:val="BodyText"/>
      </w:pPr>
      <w:r w:rsidRPr="00C94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7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94ADE" w:rsidP="00C94ADE"/>
    <w:sectPr w:rsidSect="00C94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DE" w:rsidRPr="00C637DA" w:rsidP="00C63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DA" w:rsidP="00C94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7DA" w:rsidP="00C94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37DA" w:rsidP="00C94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ADE" w:rsidRPr="00C637DA" w:rsidP="00C63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DA" w:rsidRPr="002D2AF8" w:rsidP="00C94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CPCCCA3011 Refurbish timber sashes to window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637DA" w:rsidP="00C94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ADE"/>
  </w:style>
  <w:style w:type="character" w:customStyle="1" w:styleId="Heading1Char">
    <w:name w:val="Heading 1 Char"/>
    <w:basedOn w:val="DefaultParagraphFont"/>
    <w:link w:val="Heading1"/>
    <w:rsid w:val="00C94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AD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94ADE"/>
    <w:rPr>
      <w:i/>
    </w:rPr>
  </w:style>
  <w:style w:type="paragraph" w:customStyle="1" w:styleId="SuperHeading">
    <w:name w:val="SuperHeading"/>
    <w:basedOn w:val="Normal"/>
    <w:rsid w:val="00C94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A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A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4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ADE"/>
    <w:rPr>
      <w:b/>
      <w:spacing w:val="0"/>
    </w:rPr>
  </w:style>
  <w:style w:type="paragraph" w:customStyle="1" w:styleId="SuperTitle">
    <w:name w:val="SuperTitle"/>
    <w:basedOn w:val="Title"/>
    <w:rsid w:val="00C94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A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ADE"/>
  </w:style>
  <w:style w:type="paragraph" w:styleId="TableofFigures">
    <w:name w:val="table of figures"/>
    <w:basedOn w:val="Normal"/>
    <w:next w:val="Normal"/>
    <w:semiHidden/>
    <w:rsid w:val="00C94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A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4ADE"/>
    <w:rPr>
      <w:rFonts w:ascii="Wingdings" w:hAnsi="Wingdings"/>
    </w:rPr>
  </w:style>
  <w:style w:type="paragraph" w:customStyle="1" w:styleId="TableHeading">
    <w:name w:val="Table Heading"/>
    <w:basedOn w:val="HeadingBase"/>
    <w:rsid w:val="00C94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ADE"/>
    <w:rPr>
      <w:color w:val="0033CC"/>
      <w:u w:val="none"/>
    </w:rPr>
  </w:style>
  <w:style w:type="paragraph" w:customStyle="1" w:styleId="BodyTextRight">
    <w:name w:val="Body Text Right"/>
    <w:basedOn w:val="BodyText"/>
    <w:rsid w:val="00C94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A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ADE"/>
    <w:rPr>
      <w:sz w:val="32"/>
    </w:rPr>
  </w:style>
  <w:style w:type="paragraph" w:customStyle="1" w:styleId="HeadingProcedure">
    <w:name w:val="Heading Procedure"/>
    <w:basedOn w:val="HeadingBase"/>
    <w:next w:val="Normal"/>
    <w:rsid w:val="00C94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ADE"/>
    <w:pPr>
      <w:spacing w:before="60" w:after="60"/>
    </w:pPr>
  </w:style>
  <w:style w:type="paragraph" w:styleId="ListContinue">
    <w:name w:val="List Continue"/>
    <w:basedOn w:val="List"/>
    <w:rsid w:val="00C94ADE"/>
    <w:pPr>
      <w:ind w:firstLine="0"/>
    </w:pPr>
  </w:style>
  <w:style w:type="paragraph" w:customStyle="1" w:styleId="ListNote">
    <w:name w:val="List Note"/>
    <w:basedOn w:val="List"/>
    <w:rsid w:val="00C94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ADE"/>
    <w:rPr>
      <w:rFonts w:ascii="Courier New" w:hAnsi="Courier New"/>
    </w:rPr>
  </w:style>
  <w:style w:type="paragraph" w:customStyle="1" w:styleId="NoteBullet">
    <w:name w:val="Note Bullet"/>
    <w:basedOn w:val="Note"/>
    <w:rsid w:val="00C94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A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4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ADE"/>
    <w:rPr>
      <w:b/>
      <w:smallCaps/>
    </w:rPr>
  </w:style>
  <w:style w:type="paragraph" w:customStyle="1" w:styleId="TableListNumber">
    <w:name w:val="Table List Number"/>
    <w:basedOn w:val="ListNumber"/>
    <w:rsid w:val="00C94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ADE"/>
    <w:pPr>
      <w:numPr>
        <w:numId w:val="7"/>
      </w:numPr>
    </w:pPr>
  </w:style>
  <w:style w:type="paragraph" w:customStyle="1" w:styleId="ListAlpha2">
    <w:name w:val="List Alpha 2"/>
    <w:basedOn w:val="List2"/>
    <w:rsid w:val="00C94ADE"/>
    <w:pPr>
      <w:numPr>
        <w:numId w:val="6"/>
      </w:numPr>
    </w:pPr>
  </w:style>
  <w:style w:type="paragraph" w:styleId="List2">
    <w:name w:val="List 2"/>
    <w:basedOn w:val="BodyText"/>
    <w:rsid w:val="00C94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A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A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4ADE"/>
    <w:pPr>
      <w:numPr>
        <w:numId w:val="2"/>
      </w:numPr>
    </w:pPr>
  </w:style>
  <w:style w:type="paragraph" w:styleId="ListContinue2">
    <w:name w:val="List Continue 2"/>
    <w:basedOn w:val="List2"/>
    <w:rsid w:val="00C94ADE"/>
    <w:pPr>
      <w:ind w:firstLine="0"/>
    </w:pPr>
  </w:style>
  <w:style w:type="paragraph" w:styleId="ListContinue3">
    <w:name w:val="List Continue 3"/>
    <w:basedOn w:val="List3"/>
    <w:rsid w:val="00C94ADE"/>
    <w:pPr>
      <w:ind w:left="1021" w:firstLine="0"/>
    </w:pPr>
  </w:style>
  <w:style w:type="paragraph" w:styleId="ListContinue4">
    <w:name w:val="List Continue 4"/>
    <w:basedOn w:val="List4"/>
    <w:rsid w:val="00C94ADE"/>
    <w:pPr>
      <w:ind w:firstLine="0"/>
    </w:pPr>
  </w:style>
  <w:style w:type="paragraph" w:styleId="ListContinue5">
    <w:name w:val="List Continue 5"/>
    <w:basedOn w:val="List5"/>
    <w:rsid w:val="00C94ADE"/>
    <w:pPr>
      <w:ind w:firstLine="0"/>
    </w:pPr>
  </w:style>
  <w:style w:type="paragraph" w:styleId="ListNumber3">
    <w:name w:val="List Number 3"/>
    <w:basedOn w:val="List3"/>
    <w:rsid w:val="00C94ADE"/>
    <w:pPr>
      <w:numPr>
        <w:numId w:val="3"/>
      </w:numPr>
    </w:pPr>
  </w:style>
  <w:style w:type="paragraph" w:styleId="ListNumber4">
    <w:name w:val="List Number 4"/>
    <w:basedOn w:val="List4"/>
    <w:rsid w:val="00C94ADE"/>
    <w:pPr>
      <w:numPr>
        <w:numId w:val="4"/>
      </w:numPr>
    </w:pPr>
  </w:style>
  <w:style w:type="paragraph" w:styleId="ListNumber5">
    <w:name w:val="List Number 5"/>
    <w:basedOn w:val="List5"/>
    <w:rsid w:val="00C94ADE"/>
    <w:pPr>
      <w:numPr>
        <w:numId w:val="5"/>
      </w:numPr>
    </w:pPr>
  </w:style>
  <w:style w:type="paragraph" w:styleId="BlockText">
    <w:name w:val="Block Text"/>
    <w:basedOn w:val="Normal"/>
    <w:rsid w:val="00C94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ADE"/>
    <w:rPr>
      <w:sz w:val="16"/>
      <w:vertAlign w:val="superscript"/>
    </w:rPr>
  </w:style>
  <w:style w:type="character" w:customStyle="1" w:styleId="Symbols">
    <w:name w:val="Symbols"/>
    <w:basedOn w:val="DefaultParagraphFont"/>
    <w:rsid w:val="00C94ADE"/>
    <w:rPr>
      <w:rFonts w:ascii="Symbol" w:hAnsi="Symbol"/>
    </w:rPr>
  </w:style>
  <w:style w:type="character" w:customStyle="1" w:styleId="MenuOptions">
    <w:name w:val="Menu Options"/>
    <w:basedOn w:val="DefaultParagraphFont"/>
    <w:rsid w:val="00C94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ADE"/>
    <w:rPr>
      <w:b/>
    </w:rPr>
  </w:style>
  <w:style w:type="character" w:customStyle="1" w:styleId="Underlined">
    <w:name w:val="Underlined"/>
    <w:basedOn w:val="DefaultParagraphFont"/>
    <w:rsid w:val="00C94ADE"/>
    <w:rPr>
      <w:u w:val="single"/>
    </w:rPr>
  </w:style>
  <w:style w:type="paragraph" w:customStyle="1" w:styleId="TableBodyTextRight">
    <w:name w:val="Table Body Text Right"/>
    <w:basedOn w:val="TableBodyText"/>
    <w:rsid w:val="00C94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ADE"/>
    <w:rPr>
      <w:sz w:val="18"/>
    </w:rPr>
  </w:style>
  <w:style w:type="paragraph" w:customStyle="1" w:styleId="BodySmallRight">
    <w:name w:val="Body Small Right"/>
    <w:basedOn w:val="BodyTextRight"/>
    <w:rsid w:val="00C94ADE"/>
    <w:rPr>
      <w:sz w:val="18"/>
      <w:szCs w:val="18"/>
    </w:rPr>
  </w:style>
  <w:style w:type="paragraph" w:customStyle="1" w:styleId="MarginEdition">
    <w:name w:val="Margin Edition"/>
    <w:basedOn w:val="MarginNote"/>
    <w:rsid w:val="00C94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ADE"/>
    <w:rPr>
      <w:sz w:val="2"/>
      <w:szCs w:val="2"/>
    </w:rPr>
  </w:style>
  <w:style w:type="character" w:customStyle="1" w:styleId="Small">
    <w:name w:val="Small"/>
    <w:basedOn w:val="DefaultParagraphFont"/>
    <w:rsid w:val="00C94ADE"/>
    <w:rPr>
      <w:sz w:val="16"/>
    </w:rPr>
  </w:style>
  <w:style w:type="paragraph" w:customStyle="1" w:styleId="WideTable">
    <w:name w:val="Wide Table"/>
    <w:basedOn w:val="Normal"/>
    <w:rsid w:val="00C94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ADE"/>
  </w:style>
  <w:style w:type="paragraph" w:styleId="Quote">
    <w:name w:val="Quote"/>
    <w:basedOn w:val="Heading1"/>
    <w:link w:val="QuoteChar"/>
    <w:qFormat/>
    <w:rsid w:val="00C94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ADE"/>
    <w:pPr>
      <w:pageBreakBefore/>
    </w:pPr>
  </w:style>
  <w:style w:type="paragraph" w:customStyle="1" w:styleId="Border">
    <w:name w:val="Border"/>
    <w:basedOn w:val="Normal"/>
    <w:qFormat/>
    <w:rsid w:val="00C94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ADE"/>
    <w:rPr>
      <w:u w:val="single"/>
    </w:rPr>
  </w:style>
  <w:style w:type="character" w:customStyle="1" w:styleId="BoldandItalics">
    <w:name w:val="Bold and Italics"/>
    <w:qFormat/>
    <w:rsid w:val="00C94ADE"/>
    <w:rPr>
      <w:b/>
      <w:i/>
      <w:u w:val="none"/>
    </w:rPr>
  </w:style>
  <w:style w:type="paragraph" w:styleId="BalloonText">
    <w:name w:val="Balloon Text"/>
    <w:basedOn w:val="Normal"/>
    <w:link w:val="BalloonTextChar"/>
    <w:rsid w:val="00C9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ADE"/>
    <w:pPr>
      <w:spacing w:before="0" w:after="0"/>
    </w:pPr>
  </w:style>
  <w:style w:type="paragraph" w:customStyle="1" w:styleId="BodyTextBold">
    <w:name w:val="Body Text Bold"/>
    <w:basedOn w:val="BodyText"/>
    <w:qFormat/>
    <w:rsid w:val="00C94ADE"/>
    <w:rPr>
      <w:b/>
    </w:rPr>
  </w:style>
  <w:style w:type="character" w:styleId="Hyperlink">
    <w:name w:val="Hyperlink"/>
    <w:basedOn w:val="DefaultParagraphFont"/>
    <w:uiPriority w:val="99"/>
    <w:unhideWhenUsed/>
    <w:rsid w:val="00C63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3139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CPCCCA3011 Refurbish timber sashes to window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