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0BE" w:rsidP="00287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CPCCCA3011 Refurbish timber sashes to window frames</w:t>
      </w:r>
      <w:r>
        <w:fldChar w:fldCharType="end"/>
      </w:r>
    </w:p>
    <w:p w:rsidR="002870BE" w:rsidP="002870BE">
      <w:pPr>
        <w:pStyle w:val="Version"/>
        <w:sectPr w:rsidSect="00C67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67128" w:rsidP="00C67128">
      <w:pPr>
        <w:pStyle w:val="SuperHeading"/>
      </w:pPr>
      <w:r w:rsidRPr="00C67128">
        <w:t>CPCCCA3011 Refurbish timber sashes to window frames</w:t>
      </w:r>
    </w:p>
    <w:p w:rsidR="00000000" w:rsidRPr="00C67128" w:rsidP="00C67128">
      <w:pPr>
        <w:pStyle w:val="Heading1"/>
      </w:pPr>
      <w:bookmarkStart w:id="1" w:name="O_1295714"/>
      <w:bookmarkEnd w:id="1"/>
      <w:r w:rsidRPr="00C671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Updated reference to general construction induction training program.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28" w:rsidP="00C67128">
            <w:pPr>
              <w:pStyle w:val="BodyText"/>
            </w:pPr>
            <w:r w:rsidRPr="00C67128">
              <w:t>This version first released with CPC Construction, Plumbing and Services Training Package Release 6.5.</w:t>
            </w:r>
          </w:p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Correction of title of Element 4</w:t>
            </w:r>
            <w:r w:rsidRPr="00C67128">
              <w:t xml:space="preserve"> to read:  Clean up.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28" w:rsidP="00C67128">
            <w:pPr>
              <w:pStyle w:val="BodyText"/>
            </w:pPr>
            <w:r w:rsidRPr="00C67128">
              <w:t>This version first released with CPC Construction, Plumbing and Services Training Package Release 5.0.</w:t>
            </w:r>
          </w:p>
          <w:p w:rsidR="00000000" w:rsidRPr="00C67128" w:rsidP="00C67128">
            <w:pPr>
              <w:pStyle w:val="BodyText"/>
            </w:pPr>
            <w:r w:rsidRPr="00C67128">
              <w:t xml:space="preserve">Supersedes and is equivalent to CPCCCA3011A Refurbish timber sashes to window frames.  Updated to meet the Standards for </w:t>
            </w:r>
            <w:r w:rsidRPr="00C67128">
              <w:t>Training Packages 2012.</w:t>
            </w:r>
          </w:p>
        </w:tc>
      </w:tr>
    </w:tbl>
    <w:p w:rsidR="00000000" w:rsidRPr="00C67128" w:rsidP="00C67128">
      <w:pPr>
        <w:pStyle w:val="BodyText"/>
      </w:pPr>
    </w:p>
    <w:p w:rsidR="00000000" w:rsidRPr="00C67128" w:rsidP="00C67128">
      <w:pPr>
        <w:pStyle w:val="AllowPageBreak"/>
      </w:pPr>
    </w:p>
    <w:p w:rsidR="00000000" w:rsidRPr="00C67128" w:rsidP="00C67128">
      <w:pPr>
        <w:pStyle w:val="Heading1"/>
      </w:pPr>
      <w:bookmarkStart w:id="2" w:name="O_1295713"/>
      <w:bookmarkEnd w:id="2"/>
      <w:r w:rsidRPr="00C67128">
        <w:t>Application</w:t>
      </w:r>
    </w:p>
    <w:p w:rsidR="00000000" w:rsidRPr="00C67128" w:rsidP="002870BE">
      <w:pPr>
        <w:pStyle w:val="BodyText"/>
      </w:pPr>
      <w:r w:rsidRPr="00C67128">
        <w:t>This unit of competency specifies the skills and knowledge required to refurbish timber sashes to window frames to rectify operation of external windows, meeting all relevant requirements of the Nati</w:t>
      </w:r>
      <w:r w:rsidRPr="00C67128">
        <w:t xml:space="preserve">onal Construction Code (NCC), Australian Standards, work health and safety (WHS), and Commonwealth and state or territory legislation. </w:t>
      </w:r>
    </w:p>
    <w:p w:rsidR="00000000" w:rsidRPr="00C67128" w:rsidP="002870BE">
      <w:pPr>
        <w:pStyle w:val="BodyText"/>
      </w:pPr>
      <w:r w:rsidRPr="00C67128">
        <w:t>Completion of the general construction induction training program specified by the model Code of Practice for Constructi</w:t>
      </w:r>
      <w:r w:rsidRPr="00C67128">
        <w:t xml:space="preserve">on Work is required for any person who is to carry out construction work. Achievement of </w:t>
      </w:r>
      <w:r w:rsidRPr="00C67128">
        <w:rPr>
          <w:rStyle w:val="Emphasis"/>
        </w:rPr>
        <w:t>CPCWHS1001</w:t>
      </w:r>
      <w:r w:rsidRPr="00C67128">
        <w:t xml:space="preserve"> </w:t>
      </w:r>
      <w:r w:rsidRPr="00C67128">
        <w:rPr>
          <w:rStyle w:val="Emphasis"/>
        </w:rPr>
        <w:t>Prepare to work safely in the construction industry</w:t>
      </w:r>
      <w:r w:rsidRPr="00C67128">
        <w:t xml:space="preserve"> meets this requirement.</w:t>
      </w:r>
    </w:p>
    <w:p w:rsidR="00000000" w:rsidRPr="00C67128" w:rsidP="002870BE">
      <w:pPr>
        <w:pStyle w:val="BodyText"/>
      </w:pPr>
      <w:r w:rsidRPr="00C67128">
        <w:t>No licensing, legislative or certification requirements apply to this unit at th</w:t>
      </w:r>
      <w:r w:rsidRPr="00C67128">
        <w:t>e time of publication.</w:t>
      </w:r>
    </w:p>
    <w:p w:rsidR="00000000" w:rsidRPr="00C67128" w:rsidP="00C67128">
      <w:pPr>
        <w:pStyle w:val="Heading1"/>
      </w:pPr>
      <w:bookmarkStart w:id="3" w:name="O_1295712"/>
      <w:bookmarkEnd w:id="3"/>
      <w:r w:rsidRPr="00C67128">
        <w:t>Pre-requisite Unit</w:t>
      </w:r>
    </w:p>
    <w:p w:rsidR="00000000" w:rsidRPr="00C67128" w:rsidP="002870BE">
      <w:pPr>
        <w:pStyle w:val="BodyText"/>
      </w:pPr>
      <w:r w:rsidRPr="00C67128">
        <w:t xml:space="preserve">CPCCWHS2001 Apply WHS requirements, policies and procedures in the construction industry. </w:t>
      </w:r>
    </w:p>
    <w:p w:rsidR="00000000" w:rsidRPr="00C67128" w:rsidP="00C67128">
      <w:pPr>
        <w:pStyle w:val="Heading1"/>
      </w:pPr>
      <w:bookmarkStart w:id="4" w:name="O_1295711"/>
      <w:bookmarkEnd w:id="4"/>
      <w:r w:rsidRPr="00C67128">
        <w:t>Unit Sector</w:t>
      </w:r>
    </w:p>
    <w:p w:rsidR="00000000" w:rsidRPr="00C67128" w:rsidP="002870BE">
      <w:pPr>
        <w:pStyle w:val="BodyText"/>
      </w:pPr>
      <w:r w:rsidRPr="00C67128">
        <w:t>Carpentry and Joinery</w:t>
      </w:r>
    </w:p>
    <w:p w:rsidR="00000000" w:rsidRPr="00C67128" w:rsidP="00C67128">
      <w:pPr>
        <w:pStyle w:val="Heading1"/>
      </w:pPr>
      <w:bookmarkStart w:id="5" w:name="O_1295710"/>
      <w:bookmarkEnd w:id="5"/>
      <w:r w:rsidRPr="00C671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 xml:space="preserve">Elements describe the </w:t>
            </w:r>
            <w:r w:rsidRPr="00C67128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 xml:space="preserve">Performance criteria describe what needs to be done to </w:t>
            </w:r>
            <w:r w:rsidRPr="00C67128">
              <w:t>demonstrate achievement of the element.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 xml:space="preserve">Read and interpret work instructions and plan sequence of </w:t>
            </w:r>
            <w:r w:rsidRPr="00C67128">
              <w:t>work.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Plan all work to comply with laws and regulations, the National Construction Code (NCC), Australian Standards, work health and safety (WHS) and environmental requirements, manufacturers’</w:t>
            </w:r>
            <w:r w:rsidRPr="00C67128">
              <w:t xml:space="preserve"> specifications, workplace requirements, drawings and specifications.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Select tools and equipment, check for serviceability and report any faults.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Select and use personal protective equipment (PPE) for each part of the task.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Inspect work site, assess hazards and apply risk controls, including required signage and barricades.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Select materials required for task, calculate quantities, handle safely and prepare and position ready for use.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Refurbish casement/awning windows.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Remove sash and hardware.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Refurbish, fit and hang sash to correct margins.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Fit window hardware.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Refurbish double hung windows.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Remove sashes from frame in correct sequence.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Refurbish and fit sashes to correct margins.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Fit sash cords and weights or spiral balances or spring balances, check and adjust.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Fit window hardware and mouldings.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Clean up, meeting all legislative and workplace requirements for safety, waste disposal and materials handling.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28" w:rsidP="00C67128">
            <w:pPr>
              <w:pStyle w:val="BodyText"/>
            </w:pPr>
            <w:r w:rsidRPr="00C67128">
              <w:t xml:space="preserve">Check, maintain and store tools and equipment and </w:t>
            </w:r>
            <w:r w:rsidRPr="00C67128">
              <w:t>report any faults.</w:t>
            </w:r>
          </w:p>
        </w:tc>
      </w:tr>
    </w:tbl>
    <w:p w:rsidR="002870BE" w:rsidP="00C67128">
      <w:pPr>
        <w:pStyle w:val="BodyText"/>
      </w:pPr>
    </w:p>
    <w:p w:rsidR="002870BE" w:rsidP="00C67128">
      <w:pPr>
        <w:pStyle w:val="BodyText"/>
      </w:pPr>
    </w:p>
    <w:p w:rsidR="00000000" w:rsidRPr="00C67128" w:rsidP="00C67128">
      <w:pPr>
        <w:pStyle w:val="Heading1"/>
      </w:pPr>
      <w:bookmarkStart w:id="6" w:name="O_1295709"/>
      <w:bookmarkEnd w:id="6"/>
      <w:r w:rsidRPr="00C67128">
        <w:t>Foundation Skills</w:t>
      </w:r>
    </w:p>
    <w:p w:rsidR="00000000" w:rsidRPr="00C67128" w:rsidP="002870BE">
      <w:pPr>
        <w:pStyle w:val="BodyText"/>
      </w:pPr>
      <w:r w:rsidRPr="00C67128">
        <w:t xml:space="preserve">Foundation skills essential to performance are explicit in the performance criteria of this unit of competency. </w:t>
      </w:r>
    </w:p>
    <w:p w:rsidR="00000000" w:rsidRPr="00C67128" w:rsidP="00C67128">
      <w:pPr>
        <w:pStyle w:val="Heading1"/>
      </w:pPr>
      <w:bookmarkStart w:id="7" w:name="O_1295708"/>
      <w:bookmarkEnd w:id="7"/>
      <w:r w:rsidRPr="00C67128">
        <w:t>Unit Mapping Information</w:t>
      </w:r>
    </w:p>
    <w:p w:rsidR="00000000" w:rsidRPr="00C67128" w:rsidP="002870BE">
      <w:pPr>
        <w:pStyle w:val="BodyText"/>
      </w:pPr>
      <w:r w:rsidRPr="00C67128">
        <w:t>Supersedes and is equivalent to CPCCCA3011A Refurbish timber sashes to window frames.</w:t>
      </w:r>
    </w:p>
    <w:p w:rsidR="00000000" w:rsidRPr="00C67128" w:rsidP="00C67128">
      <w:pPr>
        <w:pStyle w:val="Heading1"/>
      </w:pPr>
      <w:bookmarkStart w:id="8" w:name="O_1295715"/>
      <w:bookmarkEnd w:id="8"/>
      <w:r w:rsidRPr="00C67128">
        <w:t>Links</w:t>
      </w:r>
    </w:p>
    <w:p w:rsidR="00000000" w:rsidRPr="00C67128" w:rsidP="002870BE">
      <w:pPr>
        <w:pStyle w:val="BodyText"/>
      </w:pPr>
      <w:r w:rsidRPr="00C671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3A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67128" w:rsidP="002870BE">
      <w:pPr>
        <w:pStyle w:val="BodyText"/>
        <w:sectPr w:rsidSect="00C671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7128" w:rsidP="00C67128">
      <w:pPr>
        <w:pStyle w:val="SuperHeading"/>
      </w:pPr>
      <w:r w:rsidRPr="00C67128">
        <w:t>Assessment Requirements for CPCCCA3011 Refurbish</w:t>
      </w:r>
      <w:r w:rsidRPr="00C67128">
        <w:t xml:space="preserve"> timber sashes to window frames</w:t>
      </w:r>
    </w:p>
    <w:p w:rsidR="00000000" w:rsidRPr="00C67128" w:rsidP="00C67128">
      <w:pPr>
        <w:pStyle w:val="Heading1"/>
      </w:pPr>
      <w:bookmarkStart w:id="9" w:name="O_1295706"/>
      <w:bookmarkEnd w:id="9"/>
      <w:r w:rsidRPr="00C671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Updated reference to general construction induction training program.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28" w:rsidP="00C67128">
            <w:pPr>
              <w:pStyle w:val="BodyText"/>
            </w:pPr>
            <w:r w:rsidRPr="00C67128">
              <w:t>This version first released with CPC Construction, Plumbing and Services Training Package Rele</w:t>
            </w:r>
            <w:r w:rsidRPr="00C67128">
              <w:t>ase 6.5.</w:t>
            </w:r>
          </w:p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Correction of title of Element 4 to read:  Clean up.</w:t>
            </w:r>
          </w:p>
        </w:tc>
      </w:tr>
      <w:tr w:rsidTr="00C671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128">
            <w:pPr>
              <w:pStyle w:val="BodyText"/>
              <w:rPr>
                <w:lang w:val="en-NZ"/>
              </w:rPr>
            </w:pPr>
            <w:r w:rsidRPr="00C6712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128" w:rsidP="00C67128">
            <w:pPr>
              <w:pStyle w:val="BodyText"/>
            </w:pPr>
            <w:r w:rsidRPr="00C67128">
              <w:t>This version first released with CPC Construction, Plumbing and Services Training Package Release 5.0.</w:t>
            </w:r>
          </w:p>
          <w:p w:rsidR="00000000" w:rsidRPr="00C67128" w:rsidP="00C67128">
            <w:pPr>
              <w:pStyle w:val="BodyText"/>
            </w:pPr>
            <w:r w:rsidRPr="00C67128">
              <w:t>Supersedes and is equivalent to CPCCCA3011A Refurbish timber sashes to window fr</w:t>
            </w:r>
            <w:r w:rsidRPr="00C67128">
              <w:t>ames.  Updated to meet the Standards for Training Packages 2012.</w:t>
            </w:r>
          </w:p>
        </w:tc>
      </w:tr>
    </w:tbl>
    <w:p w:rsidR="00000000" w:rsidRPr="00C67128" w:rsidP="00C67128">
      <w:pPr>
        <w:pStyle w:val="BodyText"/>
      </w:pPr>
    </w:p>
    <w:p w:rsidR="00000000" w:rsidRPr="00C67128" w:rsidP="00C67128">
      <w:pPr>
        <w:pStyle w:val="AllowPageBreak"/>
      </w:pPr>
    </w:p>
    <w:p w:rsidR="00000000" w:rsidRPr="00C67128" w:rsidP="00C67128">
      <w:pPr>
        <w:pStyle w:val="Heading1"/>
      </w:pPr>
      <w:bookmarkStart w:id="10" w:name="O_1295705"/>
      <w:bookmarkEnd w:id="10"/>
      <w:r w:rsidRPr="00C67128">
        <w:t>Performance Evidence</w:t>
      </w:r>
    </w:p>
    <w:p w:rsidR="00000000" w:rsidRPr="00C67128" w:rsidP="002870BE">
      <w:pPr>
        <w:pStyle w:val="BodyText"/>
      </w:pPr>
      <w:r w:rsidRPr="00C67128">
        <w:t>To demonstrate competency, a candidate must meet the performance criteria of this unit by:</w:t>
      </w:r>
    </w:p>
    <w:p w:rsidR="00000000" w:rsidRPr="00C67128" w:rsidP="00C67128">
      <w:pPr>
        <w:pStyle w:val="ListBullet"/>
      </w:pPr>
      <w:r w:rsidRPr="00C67128">
        <w:t>removing, refurbishing and refitting one sash to a top or side hung window frame</w:t>
      </w:r>
    </w:p>
    <w:p w:rsidR="00000000" w:rsidRPr="00C67128" w:rsidP="00C67128">
      <w:pPr>
        <w:pStyle w:val="ListBullet"/>
      </w:pPr>
      <w:r w:rsidRPr="00C67128">
        <w:t>removing, refurbishing and refitting one pair of sashes to a double hung window.</w:t>
      </w:r>
    </w:p>
    <w:p w:rsidR="00000000" w:rsidRPr="00C67128" w:rsidP="00C67128">
      <w:pPr>
        <w:pStyle w:val="AllowPageBreak"/>
      </w:pPr>
    </w:p>
    <w:p w:rsidR="00000000" w:rsidRPr="00C67128" w:rsidP="00C67128">
      <w:pPr>
        <w:pStyle w:val="Heading1"/>
      </w:pPr>
      <w:bookmarkStart w:id="11" w:name="O_1295704"/>
      <w:bookmarkEnd w:id="11"/>
      <w:r w:rsidRPr="00C67128">
        <w:t>Knowledge Evidence</w:t>
      </w:r>
    </w:p>
    <w:p w:rsidR="00000000" w:rsidRPr="00C67128" w:rsidP="002870BE">
      <w:pPr>
        <w:pStyle w:val="BodyText"/>
      </w:pPr>
      <w:r w:rsidRPr="00C67128">
        <w:t>To be competent in this unit, a candidate must demonstra</w:t>
      </w:r>
      <w:r w:rsidRPr="00C67128">
        <w:t>te knowledge of:</w:t>
      </w:r>
    </w:p>
    <w:p w:rsidR="00000000" w:rsidRPr="00C67128" w:rsidP="00C67128">
      <w:pPr>
        <w:pStyle w:val="ListBullet"/>
      </w:pPr>
      <w:r w:rsidRPr="00C67128">
        <w:t>compliance requirements of the National Construction Code and Australian Standards relevant to refurbishing timber sashes to window frames</w:t>
      </w:r>
    </w:p>
    <w:p w:rsidR="00000000" w:rsidRPr="00C67128" w:rsidP="00C67128">
      <w:pPr>
        <w:pStyle w:val="ListBullet"/>
      </w:pPr>
      <w:r w:rsidRPr="00C67128">
        <w:t>workplace quality policies and standards relevant to refurbishing timber sashes to window frames</w:t>
      </w:r>
    </w:p>
    <w:p w:rsidR="00000000" w:rsidRPr="00C67128" w:rsidP="00C67128">
      <w:pPr>
        <w:pStyle w:val="ListBullet"/>
      </w:pPr>
      <w:r w:rsidRPr="00C67128">
        <w:t>sa</w:t>
      </w:r>
      <w:r w:rsidRPr="00C67128">
        <w:t>fety requirements for refurbishing timber sashes to window frames</w:t>
      </w:r>
    </w:p>
    <w:p w:rsidR="00000000" w:rsidRPr="00C67128" w:rsidP="00C67128">
      <w:pPr>
        <w:pStyle w:val="ListBullet"/>
      </w:pPr>
      <w:r w:rsidRPr="00C67128">
        <w:t>plans, specifications and drawings for refurbishing timber sashes to window frames</w:t>
      </w:r>
    </w:p>
    <w:p w:rsidR="00000000" w:rsidRPr="00C67128" w:rsidP="00C67128">
      <w:pPr>
        <w:pStyle w:val="ListBullet"/>
      </w:pPr>
      <w:r w:rsidRPr="00C67128">
        <w:t>processes for calculating material requirements for refurbishing timber sashes to window frames</w:t>
      </w:r>
    </w:p>
    <w:p w:rsidR="00000000" w:rsidRPr="00C67128" w:rsidP="00C67128">
      <w:pPr>
        <w:pStyle w:val="ListBullet"/>
      </w:pPr>
      <w:r w:rsidRPr="00C67128">
        <w:t>timber sash refurbishment techniques</w:t>
      </w:r>
    </w:p>
    <w:p w:rsidR="00000000" w:rsidRPr="00C67128" w:rsidP="00C67128">
      <w:pPr>
        <w:pStyle w:val="ListBullet"/>
      </w:pPr>
      <w:r w:rsidRPr="00C67128">
        <w:t>types and uses of tools and equipment required to refurbish timber sashes to window frames</w:t>
      </w:r>
    </w:p>
    <w:p w:rsidR="00000000" w:rsidRPr="00C67128" w:rsidP="00C67128">
      <w:pPr>
        <w:pStyle w:val="ListBullet"/>
      </w:pPr>
      <w:r w:rsidRPr="00C67128">
        <w:t>materials and construction methods used to construct window frames and sashes</w:t>
      </w:r>
    </w:p>
    <w:p w:rsidR="00000000" w:rsidRPr="00C67128" w:rsidP="00C67128">
      <w:pPr>
        <w:pStyle w:val="ListBullet"/>
      </w:pPr>
      <w:r w:rsidRPr="00C67128">
        <w:t>window hardware:</w:t>
      </w:r>
    </w:p>
    <w:p w:rsidR="00000000" w:rsidRPr="00C67128" w:rsidP="00C67128">
      <w:pPr>
        <w:pStyle w:val="ListBullet2"/>
      </w:pPr>
      <w:r w:rsidRPr="00C67128">
        <w:t>window furniture, including hing</w:t>
      </w:r>
      <w:r w:rsidRPr="00C67128">
        <w:t>es, sash stays, weights and cords, spiral balances, spring balances, locks, winders, handles and knobs, lifts</w:t>
      </w:r>
    </w:p>
    <w:p w:rsidR="00000000" w:rsidRPr="00C67128" w:rsidP="00C67128">
      <w:pPr>
        <w:pStyle w:val="ListBullet2"/>
      </w:pPr>
      <w:r w:rsidRPr="00C67128">
        <w:t>frame and sash moulding, including:</w:t>
      </w:r>
    </w:p>
    <w:p w:rsidR="00000000" w:rsidRPr="00C67128" w:rsidP="00C67128">
      <w:pPr>
        <w:pStyle w:val="ListBullet3"/>
      </w:pPr>
      <w:r w:rsidRPr="00C67128">
        <w:t>parting beads</w:t>
      </w:r>
    </w:p>
    <w:p w:rsidR="00000000" w:rsidRPr="00C67128" w:rsidP="00C67128">
      <w:pPr>
        <w:pStyle w:val="ListBullet3"/>
      </w:pPr>
      <w:r w:rsidRPr="00C67128">
        <w:t>pocket pieces</w:t>
      </w:r>
    </w:p>
    <w:p w:rsidR="00000000" w:rsidRPr="00C67128" w:rsidP="00C67128">
      <w:pPr>
        <w:pStyle w:val="ListBullet3"/>
      </w:pPr>
      <w:r w:rsidRPr="00C67128">
        <w:t>stop beads</w:t>
      </w:r>
    </w:p>
    <w:p w:rsidR="00000000" w:rsidRPr="00C67128" w:rsidP="00C67128">
      <w:pPr>
        <w:pStyle w:val="ListBullet3"/>
      </w:pPr>
      <w:r w:rsidRPr="00C67128">
        <w:t>outside linings</w:t>
      </w:r>
    </w:p>
    <w:p w:rsidR="00000000" w:rsidRPr="00C67128" w:rsidP="00C67128">
      <w:pPr>
        <w:pStyle w:val="ListBullet"/>
      </w:pPr>
      <w:r w:rsidRPr="00C67128">
        <w:t>processes for setting out hardware of refurbished windows.</w:t>
      </w:r>
    </w:p>
    <w:p w:rsidR="00000000" w:rsidRPr="00C67128" w:rsidP="00C67128">
      <w:pPr>
        <w:pStyle w:val="AllowPageBreak"/>
      </w:pPr>
    </w:p>
    <w:p w:rsidR="00000000" w:rsidRPr="00C67128" w:rsidP="00C67128">
      <w:pPr>
        <w:pStyle w:val="Heading1"/>
      </w:pPr>
      <w:bookmarkStart w:id="12" w:name="O_1295703"/>
      <w:bookmarkEnd w:id="12"/>
      <w:r w:rsidRPr="00C67128">
        <w:t>Assessment Conditions</w:t>
      </w:r>
    </w:p>
    <w:p w:rsidR="00000000" w:rsidRPr="00C67128" w:rsidP="002870BE">
      <w:pPr>
        <w:pStyle w:val="BodyText"/>
      </w:pPr>
      <w:r w:rsidRPr="00C67128">
        <w:t xml:space="preserve">Assessors must meet the requirements for assessors contained in the Standards for Registered Training Organisations. </w:t>
      </w:r>
    </w:p>
    <w:p w:rsidR="00000000" w:rsidRPr="00C67128" w:rsidP="002870BE">
      <w:pPr>
        <w:pStyle w:val="BodyText"/>
      </w:pPr>
      <w:r w:rsidRPr="00C67128">
        <w:t>This unit must be assessed in the work</w:t>
      </w:r>
      <w:r w:rsidRPr="00C67128">
        <w:t>place or a close simulation using realistic workplace conditions and standards, materials, activities, responsibilities, procedures, safety requirements and environmental considerations.</w:t>
      </w:r>
    </w:p>
    <w:p w:rsidR="00000000" w:rsidRPr="00C67128" w:rsidP="00C67128">
      <w:pPr>
        <w:pStyle w:val="Heading1"/>
      </w:pPr>
      <w:bookmarkStart w:id="13" w:name="O_1295716"/>
      <w:bookmarkEnd w:id="13"/>
      <w:r w:rsidRPr="00C67128">
        <w:t>Links</w:t>
      </w:r>
    </w:p>
    <w:p w:rsidR="00000000" w:rsidRPr="00C67128" w:rsidP="002870BE">
      <w:pPr>
        <w:pStyle w:val="BodyText"/>
      </w:pPr>
      <w:r w:rsidRPr="00C67128">
        <w:t>Companion Volume implementation guides are f</w:t>
      </w:r>
      <w:r w:rsidRPr="00C67128">
        <w:t xml:space="preserve">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53A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67128" w:rsidP="00C67128"/>
    <w:sectPr w:rsidSect="00C671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 w:rsidRPr="002870BE" w:rsidP="00287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BE" w:rsidP="00C67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0BE" w:rsidP="00C67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870BE" w:rsidP="00C671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 w:rsidP="00C67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0BE">
      <w:t>Approved</w:t>
    </w:r>
    <w:r w:rsidR="002870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0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0BE">
      <w:rPr>
        <w:noProof/>
      </w:rPr>
      <w:t>4</w:t>
    </w:r>
    <w:r>
      <w:rPr>
        <w:noProof/>
      </w:rPr>
      <w:fldChar w:fldCharType="end"/>
    </w:r>
  </w:p>
  <w:p w:rsidR="00C67128" w:rsidP="00C67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0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0BE">
      <w:t>BuildSkills Australia</w:t>
    </w:r>
    <w:r w:rsidR="002870BE">
      <w:fldChar w:fldCharType="end"/>
    </w:r>
  </w:p>
  <w:p w:rsidR="00C67128" w:rsidP="00C67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128" w:rsidRPr="002870BE" w:rsidP="00287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BE" w:rsidRPr="002D2AF8" w:rsidP="00C67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CPCCCA3011 Refurbish timber sashes to window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70BE" w:rsidP="00C671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28" w:rsidRPr="002D2AF8" w:rsidP="00C67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0BE">
      <w:t>CPCCCA3011 Refurbish timber sashes to window frames</w:t>
    </w:r>
    <w:r w:rsidR="002870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0BE">
      <w:rPr>
        <w:noProof/>
      </w:rPr>
      <w:t>2 March 2025</w:t>
    </w:r>
    <w:r>
      <w:fldChar w:fldCharType="end"/>
    </w:r>
  </w:p>
  <w:p w:rsidR="00C67128" w:rsidP="00C67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448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26E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8B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128"/>
  </w:style>
  <w:style w:type="character" w:customStyle="1" w:styleId="Heading1Char">
    <w:name w:val="Heading 1 Char"/>
    <w:basedOn w:val="DefaultParagraphFont"/>
    <w:link w:val="Heading1"/>
    <w:rsid w:val="00C67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1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1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712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7128"/>
    <w:rPr>
      <w:i/>
    </w:rPr>
  </w:style>
  <w:style w:type="paragraph" w:customStyle="1" w:styleId="SuperHeading">
    <w:name w:val="SuperHeading"/>
    <w:basedOn w:val="Normal"/>
    <w:rsid w:val="00C67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712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7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1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1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128"/>
    <w:rPr>
      <w:b/>
      <w:spacing w:val="0"/>
    </w:rPr>
  </w:style>
  <w:style w:type="paragraph" w:customStyle="1" w:styleId="SuperTitle">
    <w:name w:val="SuperTitle"/>
    <w:basedOn w:val="Title"/>
    <w:rsid w:val="00C67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7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128"/>
  </w:style>
  <w:style w:type="paragraph" w:styleId="TableofFigures">
    <w:name w:val="table of figures"/>
    <w:basedOn w:val="Normal"/>
    <w:next w:val="Normal"/>
    <w:semiHidden/>
    <w:rsid w:val="00C67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12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7128"/>
    <w:rPr>
      <w:rFonts w:ascii="Wingdings" w:hAnsi="Wingdings"/>
    </w:rPr>
  </w:style>
  <w:style w:type="paragraph" w:customStyle="1" w:styleId="TableHeading">
    <w:name w:val="Table Heading"/>
    <w:basedOn w:val="HeadingBase"/>
    <w:rsid w:val="00C67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128"/>
    <w:rPr>
      <w:color w:val="0033CC"/>
      <w:u w:val="none"/>
    </w:rPr>
  </w:style>
  <w:style w:type="paragraph" w:customStyle="1" w:styleId="BodyTextRight">
    <w:name w:val="Body Text Right"/>
    <w:basedOn w:val="BodyText"/>
    <w:rsid w:val="00C67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12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128"/>
    <w:rPr>
      <w:sz w:val="32"/>
    </w:rPr>
  </w:style>
  <w:style w:type="paragraph" w:customStyle="1" w:styleId="HeadingProcedure">
    <w:name w:val="Heading Procedure"/>
    <w:basedOn w:val="HeadingBase"/>
    <w:next w:val="Normal"/>
    <w:rsid w:val="00C67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128"/>
    <w:pPr>
      <w:spacing w:before="60" w:after="60"/>
    </w:pPr>
  </w:style>
  <w:style w:type="paragraph" w:styleId="ListContinue">
    <w:name w:val="List Continue"/>
    <w:basedOn w:val="List"/>
    <w:rsid w:val="00C67128"/>
    <w:pPr>
      <w:ind w:firstLine="0"/>
    </w:pPr>
  </w:style>
  <w:style w:type="paragraph" w:customStyle="1" w:styleId="ListNote">
    <w:name w:val="List Note"/>
    <w:basedOn w:val="List"/>
    <w:rsid w:val="00C67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128"/>
    <w:rPr>
      <w:rFonts w:ascii="Courier New" w:hAnsi="Courier New"/>
    </w:rPr>
  </w:style>
  <w:style w:type="paragraph" w:customStyle="1" w:styleId="NoteBullet">
    <w:name w:val="Note Bullet"/>
    <w:basedOn w:val="Note"/>
    <w:rsid w:val="00C67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1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7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128"/>
    <w:rPr>
      <w:b/>
      <w:smallCaps/>
    </w:rPr>
  </w:style>
  <w:style w:type="paragraph" w:customStyle="1" w:styleId="TableListNumber">
    <w:name w:val="Table List Number"/>
    <w:basedOn w:val="ListNumber"/>
    <w:rsid w:val="00C67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128"/>
    <w:pPr>
      <w:numPr>
        <w:numId w:val="10"/>
      </w:numPr>
    </w:pPr>
  </w:style>
  <w:style w:type="paragraph" w:customStyle="1" w:styleId="ListAlpha2">
    <w:name w:val="List Alpha 2"/>
    <w:basedOn w:val="List2"/>
    <w:rsid w:val="00C67128"/>
    <w:pPr>
      <w:numPr>
        <w:numId w:val="9"/>
      </w:numPr>
    </w:pPr>
  </w:style>
  <w:style w:type="paragraph" w:styleId="List2">
    <w:name w:val="List 2"/>
    <w:basedOn w:val="BodyText"/>
    <w:rsid w:val="00C67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12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712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7128"/>
    <w:pPr>
      <w:numPr>
        <w:numId w:val="5"/>
      </w:numPr>
    </w:pPr>
  </w:style>
  <w:style w:type="paragraph" w:styleId="ListContinue2">
    <w:name w:val="List Continue 2"/>
    <w:basedOn w:val="List2"/>
    <w:rsid w:val="00C67128"/>
    <w:pPr>
      <w:ind w:firstLine="0"/>
    </w:pPr>
  </w:style>
  <w:style w:type="paragraph" w:styleId="ListContinue3">
    <w:name w:val="List Continue 3"/>
    <w:basedOn w:val="List3"/>
    <w:rsid w:val="00C67128"/>
    <w:pPr>
      <w:ind w:left="1021" w:firstLine="0"/>
    </w:pPr>
  </w:style>
  <w:style w:type="paragraph" w:styleId="ListContinue4">
    <w:name w:val="List Continue 4"/>
    <w:basedOn w:val="List4"/>
    <w:rsid w:val="00C67128"/>
    <w:pPr>
      <w:ind w:firstLine="0"/>
    </w:pPr>
  </w:style>
  <w:style w:type="paragraph" w:styleId="ListContinue5">
    <w:name w:val="List Continue 5"/>
    <w:basedOn w:val="List5"/>
    <w:rsid w:val="00C67128"/>
    <w:pPr>
      <w:ind w:firstLine="0"/>
    </w:pPr>
  </w:style>
  <w:style w:type="paragraph" w:styleId="ListNumber3">
    <w:name w:val="List Number 3"/>
    <w:basedOn w:val="List3"/>
    <w:rsid w:val="00C67128"/>
    <w:pPr>
      <w:numPr>
        <w:numId w:val="6"/>
      </w:numPr>
    </w:pPr>
  </w:style>
  <w:style w:type="paragraph" w:styleId="ListNumber4">
    <w:name w:val="List Number 4"/>
    <w:basedOn w:val="List4"/>
    <w:rsid w:val="00C67128"/>
    <w:pPr>
      <w:numPr>
        <w:numId w:val="7"/>
      </w:numPr>
    </w:pPr>
  </w:style>
  <w:style w:type="paragraph" w:styleId="ListNumber5">
    <w:name w:val="List Number 5"/>
    <w:basedOn w:val="List5"/>
    <w:rsid w:val="00C67128"/>
    <w:pPr>
      <w:numPr>
        <w:numId w:val="8"/>
      </w:numPr>
    </w:pPr>
  </w:style>
  <w:style w:type="paragraph" w:styleId="BlockText">
    <w:name w:val="Block Text"/>
    <w:basedOn w:val="Normal"/>
    <w:rsid w:val="00C67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128"/>
    <w:rPr>
      <w:sz w:val="16"/>
      <w:vertAlign w:val="superscript"/>
    </w:rPr>
  </w:style>
  <w:style w:type="character" w:customStyle="1" w:styleId="Symbols">
    <w:name w:val="Symbols"/>
    <w:basedOn w:val="DefaultParagraphFont"/>
    <w:rsid w:val="00C67128"/>
    <w:rPr>
      <w:rFonts w:ascii="Symbol" w:hAnsi="Symbol"/>
    </w:rPr>
  </w:style>
  <w:style w:type="character" w:customStyle="1" w:styleId="MenuOptions">
    <w:name w:val="Menu Options"/>
    <w:basedOn w:val="DefaultParagraphFont"/>
    <w:rsid w:val="00C67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128"/>
    <w:rPr>
      <w:b/>
    </w:rPr>
  </w:style>
  <w:style w:type="character" w:customStyle="1" w:styleId="Underlined">
    <w:name w:val="Underlined"/>
    <w:basedOn w:val="DefaultParagraphFont"/>
    <w:rsid w:val="00C67128"/>
    <w:rPr>
      <w:u w:val="single"/>
    </w:rPr>
  </w:style>
  <w:style w:type="paragraph" w:customStyle="1" w:styleId="TableBodyTextRight">
    <w:name w:val="Table Body Text Right"/>
    <w:basedOn w:val="TableBodyText"/>
    <w:rsid w:val="00C67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128"/>
    <w:rPr>
      <w:sz w:val="18"/>
    </w:rPr>
  </w:style>
  <w:style w:type="paragraph" w:customStyle="1" w:styleId="BodySmallRight">
    <w:name w:val="Body Small Right"/>
    <w:basedOn w:val="BodyTextRight"/>
    <w:rsid w:val="00C67128"/>
    <w:rPr>
      <w:sz w:val="18"/>
      <w:szCs w:val="18"/>
    </w:rPr>
  </w:style>
  <w:style w:type="paragraph" w:customStyle="1" w:styleId="MarginEdition">
    <w:name w:val="Margin Edition"/>
    <w:basedOn w:val="MarginNote"/>
    <w:rsid w:val="00C67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128"/>
    <w:rPr>
      <w:sz w:val="2"/>
      <w:szCs w:val="2"/>
    </w:rPr>
  </w:style>
  <w:style w:type="character" w:customStyle="1" w:styleId="Small">
    <w:name w:val="Small"/>
    <w:basedOn w:val="DefaultParagraphFont"/>
    <w:rsid w:val="00C67128"/>
    <w:rPr>
      <w:sz w:val="16"/>
    </w:rPr>
  </w:style>
  <w:style w:type="paragraph" w:customStyle="1" w:styleId="WideTable">
    <w:name w:val="Wide Table"/>
    <w:basedOn w:val="Normal"/>
    <w:rsid w:val="00C67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128"/>
  </w:style>
  <w:style w:type="paragraph" w:styleId="Quote">
    <w:name w:val="Quote"/>
    <w:basedOn w:val="Heading1"/>
    <w:link w:val="QuoteChar"/>
    <w:qFormat/>
    <w:rsid w:val="00C67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128"/>
    <w:pPr>
      <w:pageBreakBefore/>
    </w:pPr>
  </w:style>
  <w:style w:type="paragraph" w:customStyle="1" w:styleId="Border">
    <w:name w:val="Border"/>
    <w:basedOn w:val="Normal"/>
    <w:qFormat/>
    <w:rsid w:val="00C67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128"/>
    <w:rPr>
      <w:u w:val="single"/>
    </w:rPr>
  </w:style>
  <w:style w:type="character" w:customStyle="1" w:styleId="BoldandItalics">
    <w:name w:val="Bold and Italics"/>
    <w:qFormat/>
    <w:rsid w:val="00C67128"/>
    <w:rPr>
      <w:b/>
      <w:i/>
      <w:u w:val="none"/>
    </w:rPr>
  </w:style>
  <w:style w:type="paragraph" w:styleId="BalloonText">
    <w:name w:val="Balloon Text"/>
    <w:basedOn w:val="Normal"/>
    <w:link w:val="BalloonTextChar"/>
    <w:rsid w:val="00C67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128"/>
    <w:pPr>
      <w:spacing w:before="0" w:after="0"/>
    </w:pPr>
  </w:style>
  <w:style w:type="paragraph" w:customStyle="1" w:styleId="BodyTextBold">
    <w:name w:val="Body Text Bold"/>
    <w:basedOn w:val="BodyText"/>
    <w:qFormat/>
    <w:rsid w:val="00C67128"/>
    <w:rPr>
      <w:b/>
    </w:rPr>
  </w:style>
  <w:style w:type="character" w:styleId="Hyperlink">
    <w:name w:val="Hyperlink"/>
    <w:basedOn w:val="DefaultParagraphFont"/>
    <w:uiPriority w:val="99"/>
    <w:unhideWhenUsed/>
    <w:rsid w:val="00287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5390</Characters>
  <Application>Microsoft Office Word</Application>
  <DocSecurity>0</DocSecurity>
  <Lines>207</Lines>
  <Paragraphs>124</Paragraphs>
  <ScaleCrop>false</ScaleCrop>
  <Company>Author-it Software Corporation Ltd.</Company>
  <LinksUpToDate>false</LinksUpToDate>
  <CharactersWithSpaces>6125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CPCCCA3011 Refurbish timber sashes to window frames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