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DCE" w:rsidP="00AF2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CPCCCA3010 Install windows and doors</w:t>
      </w:r>
      <w:r>
        <w:fldChar w:fldCharType="end"/>
      </w:r>
    </w:p>
    <w:p w:rsidR="00AF2DCE" w:rsidP="00AF2DCE">
      <w:pPr>
        <w:pStyle w:val="Version"/>
        <w:sectPr w:rsidSect="00A85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5D64" w:rsidP="00A85D64">
      <w:pPr>
        <w:pStyle w:val="SuperHeading"/>
      </w:pPr>
      <w:r w:rsidRPr="00A85D64">
        <w:t>CPCCCA3010 Install windows and doors</w:t>
      </w:r>
    </w:p>
    <w:p w:rsidR="00000000" w:rsidRPr="00A85D64" w:rsidP="00A85D64">
      <w:pPr>
        <w:pStyle w:val="Heading1"/>
      </w:pPr>
      <w:bookmarkStart w:id="1" w:name="O_1295698"/>
      <w:bookmarkEnd w:id="1"/>
      <w:r w:rsidRPr="00A85D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Updated reference to general construction induction training program.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64" w:rsidP="00A85D64">
            <w:pPr>
              <w:pStyle w:val="BodyText"/>
            </w:pPr>
            <w:r w:rsidRPr="00A85D64">
              <w:t>This version first released with CPC Construction, Plumbing and Services Training Package Release 5.0.</w:t>
            </w:r>
          </w:p>
          <w:p w:rsidR="00000000" w:rsidRPr="00A85D64" w:rsidP="00A85D64">
            <w:pPr>
              <w:pStyle w:val="BodyText"/>
            </w:pPr>
            <w:r w:rsidRPr="00A85D64">
              <w:t>Supersedes and is equivalent to CPCCCA301</w:t>
            </w:r>
            <w:r w:rsidRPr="00A85D64">
              <w:t>0A Install and replace windows and doors.  Title change.  Updated to meet the Standards for Training Packages 2012.</w:t>
            </w:r>
          </w:p>
        </w:tc>
      </w:tr>
    </w:tbl>
    <w:p w:rsidR="00000000" w:rsidRPr="00A85D64" w:rsidP="00A85D64">
      <w:pPr>
        <w:pStyle w:val="BodyText"/>
      </w:pPr>
    </w:p>
    <w:p w:rsidR="00000000" w:rsidRPr="00A85D64" w:rsidP="00A85D64">
      <w:pPr>
        <w:pStyle w:val="AllowPageBreak"/>
      </w:pPr>
    </w:p>
    <w:p w:rsidR="00000000" w:rsidRPr="00A85D64" w:rsidP="00A85D64">
      <w:pPr>
        <w:pStyle w:val="Heading1"/>
      </w:pPr>
      <w:bookmarkStart w:id="2" w:name="O_1295697"/>
      <w:bookmarkEnd w:id="2"/>
      <w:r w:rsidRPr="00A85D64">
        <w:t>Application</w:t>
      </w:r>
    </w:p>
    <w:p w:rsidR="00000000" w:rsidRPr="00A85D64" w:rsidP="00AF2DCE">
      <w:pPr>
        <w:pStyle w:val="BodyText"/>
      </w:pPr>
      <w:r w:rsidRPr="00A85D64">
        <w:t>This unit of competency specifies the skills and knowledge required to plan, prepare and install window and</w:t>
      </w:r>
      <w:r w:rsidRPr="00A85D64">
        <w:t xml:space="preserve"> door units, meeting all relevant requirements of the National Construction Code (NCC), Australian Standards, work health and safety (WHS), and Commonwealth and state or territory legislation. </w:t>
      </w:r>
    </w:p>
    <w:p w:rsidR="00000000" w:rsidRPr="00A85D64" w:rsidP="00AF2DCE">
      <w:pPr>
        <w:pStyle w:val="BodyText"/>
      </w:pPr>
      <w:r w:rsidRPr="00A85D64">
        <w:t>Completion of the general construction induction training prog</w:t>
      </w:r>
      <w:r w:rsidRPr="00A85D64">
        <w:t xml:space="preserve">ram specified by the model Code of Practice for Construction Work is required for any person who is to carry out construction work. Achievement of </w:t>
      </w:r>
      <w:r w:rsidRPr="00A85D64">
        <w:rPr>
          <w:rStyle w:val="Emphasis"/>
        </w:rPr>
        <w:t>CPCWHS1001</w:t>
      </w:r>
      <w:r w:rsidRPr="00A85D64">
        <w:t xml:space="preserve"> </w:t>
      </w:r>
      <w:r w:rsidRPr="00A85D64">
        <w:rPr>
          <w:rStyle w:val="Emphasis"/>
        </w:rPr>
        <w:t>Prepare to work safely in the construction industry</w:t>
      </w:r>
      <w:r w:rsidRPr="00A85D64">
        <w:t xml:space="preserve"> meets this requirement.</w:t>
      </w:r>
    </w:p>
    <w:p w:rsidR="00000000" w:rsidRPr="00A85D64" w:rsidP="00AF2DCE">
      <w:pPr>
        <w:pStyle w:val="BodyText"/>
      </w:pPr>
      <w:r w:rsidRPr="00A85D64">
        <w:t>No licensing, legislat</w:t>
      </w:r>
      <w:r w:rsidRPr="00A85D64">
        <w:t>ive or certification requirements apply to this unit at the time of publication.</w:t>
      </w:r>
    </w:p>
    <w:p w:rsidR="00000000" w:rsidRPr="00A85D64" w:rsidP="00A85D64">
      <w:pPr>
        <w:pStyle w:val="Heading1"/>
      </w:pPr>
      <w:bookmarkStart w:id="3" w:name="O_1295696"/>
      <w:bookmarkEnd w:id="3"/>
      <w:r w:rsidRPr="00A85D64">
        <w:t>Pre-requisite Unit</w:t>
      </w:r>
    </w:p>
    <w:p w:rsidR="00000000" w:rsidRPr="00A85D64" w:rsidP="00AF2DCE">
      <w:pPr>
        <w:pStyle w:val="BodyText"/>
      </w:pPr>
      <w:r w:rsidRPr="00A85D64">
        <w:t xml:space="preserve">CPCCWHS2001 Apply WHS requirements, policies and procedures in the construction industry. </w:t>
      </w:r>
    </w:p>
    <w:p w:rsidR="00000000" w:rsidRPr="00A85D64" w:rsidP="00A85D64">
      <w:pPr>
        <w:pStyle w:val="Heading1"/>
      </w:pPr>
      <w:bookmarkStart w:id="4" w:name="O_1295695"/>
      <w:bookmarkEnd w:id="4"/>
      <w:r w:rsidRPr="00A85D64">
        <w:t>Unit Sector</w:t>
      </w:r>
    </w:p>
    <w:p w:rsidR="00000000" w:rsidRPr="00A85D64" w:rsidP="00AF2DCE">
      <w:pPr>
        <w:pStyle w:val="BodyText"/>
      </w:pPr>
      <w:r w:rsidRPr="00A85D64">
        <w:t>Carpentry and J</w:t>
      </w:r>
      <w:r w:rsidRPr="00A85D64">
        <w:t>oinery</w:t>
      </w:r>
    </w:p>
    <w:p w:rsidR="00000000" w:rsidRPr="00A85D64" w:rsidP="00A85D64">
      <w:pPr>
        <w:pStyle w:val="Heading1"/>
      </w:pPr>
      <w:bookmarkStart w:id="5" w:name="O_1295694"/>
      <w:bookmarkEnd w:id="5"/>
      <w:r w:rsidRPr="00A85D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Performance criteria describe what needs to be done to demonstrate achievement of the element.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Read and interpret work instructions and plan sequence of work.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Plan all work to comply with laws and regulations, the National Construction Code (NCC), Australian Standards, work health and safety (WHS) and environmental requirements, manufacturers</w:t>
            </w:r>
            <w:r w:rsidRPr="00A85D64">
              <w:t>’ specifications, workplace requirements, drawings and specifications.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Select tools and equipment, check for serviceability and report any faults.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Select and use personal protective equipment (PPE) as required for each stage of the task.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Inspect work site, locate services, assess hazards and apply risk controls, including required signage and barricades.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Select materials required for task, calculate quantities, handle safely and prepare and position ready for use.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Install window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Check wall frame opening for adequate clearance for window unit.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Position window unit with packing and flashings so that the head and sill are level, stiles are plumb and in wind, and reveals or frame are finished flush wit</w:t>
            </w:r>
            <w:r w:rsidRPr="00A85D64">
              <w:t>h face of inside wall lining.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Select type, gauge and quantity of fasteners as per </w:t>
            </w:r>
            <w:r w:rsidRPr="00A85D64">
              <w:rPr>
                <w:rStyle w:val="Emphasis"/>
              </w:rPr>
              <w:t>Australian Window Association - An Industry Guide to the Correct Fixing of Windows and Doors</w:t>
            </w:r>
            <w:r w:rsidRPr="00A85D64">
              <w:t xml:space="preserve"> and fix window to wall frame.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Prepare internal and external door openings, and construct and fix jamb.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Check wall frame for adequate clearance for door frame.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Mark door jamb and head, cut to length, allowing for door clearances.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Trench the door head to accommodate jambs, allowing for specified clearances.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Assemble, square, fix and brace door frame with flush rebates.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Select type, gauge and quantity of fasteners as per Australian Window Association - An Industry Guide to </w:t>
            </w:r>
            <w:r w:rsidRPr="00A85D64">
              <w:t>the Correct Fixing of Windows and Doors. Install door frame into wall frame opening, ensuring the door jambs are plumb and in wind, positioned flush to</w:t>
            </w:r>
            <w:r w:rsidRPr="00A85D64">
              <w:t xml:space="preserve"> linings, head is level, and all appropriate flashings are in place.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Install door.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Mark out hinges and fit to door and jamb.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Fit door to frame and adjust gaps to requirements of </w:t>
            </w:r>
            <w:r w:rsidRPr="00A85D64">
              <w:rPr>
                <w:rStyle w:val="Emphasis"/>
              </w:rPr>
              <w:t>AS2688 Timber and composite doors</w:t>
            </w:r>
            <w:r w:rsidRPr="00A85D64">
              <w:t>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Fit and fix door furniture and door stop components to manufacturers’ specifications.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Install cavity door and door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Fit hardware (rollers) to door according to manufacturer’s specifications. 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Fit door to cavity sliding door unit and adjust height of rollers to ensure leading door edge is plumb and closes neat against cavity sliding door stile.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Make final adjustments to packing of cavity sliding door stile.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Fit and fix door furniture and cavity door centring locators, according to manufacturer’s specifications. 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Clean up, meeting all legislative and workplace requirements for safety, waste disposal and materials handling.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64" w:rsidP="00A85D64">
            <w:pPr>
              <w:pStyle w:val="BodyText"/>
            </w:pPr>
            <w:r w:rsidRPr="00A85D64">
              <w:t>Check, maintain and store tools and equipment and report any faults.</w:t>
            </w:r>
          </w:p>
        </w:tc>
      </w:tr>
    </w:tbl>
    <w:p w:rsidR="00000000" w:rsidRPr="00A85D64" w:rsidP="00A85D64">
      <w:pPr>
        <w:pStyle w:val="BodyText"/>
      </w:pPr>
    </w:p>
    <w:p w:rsidR="00000000" w:rsidRPr="00A85D64" w:rsidP="00A85D64">
      <w:pPr>
        <w:pStyle w:val="AllowPageBreak"/>
      </w:pPr>
    </w:p>
    <w:p w:rsidR="00000000" w:rsidRPr="00A85D64" w:rsidP="00A85D64">
      <w:pPr>
        <w:pStyle w:val="Heading1"/>
      </w:pPr>
      <w:bookmarkStart w:id="6" w:name="O_1295693"/>
      <w:bookmarkEnd w:id="6"/>
      <w:r w:rsidRPr="00A85D64">
        <w:t>Foundation Skills</w:t>
      </w:r>
    </w:p>
    <w:p w:rsidR="00000000" w:rsidRPr="00A85D64" w:rsidP="00AF2DCE">
      <w:pPr>
        <w:pStyle w:val="BodyText"/>
      </w:pPr>
      <w:r w:rsidRPr="00A85D64">
        <w:t xml:space="preserve">Foundation skills essential to performance are explicit in the performance criteria of this unit of competency. </w:t>
      </w:r>
    </w:p>
    <w:p w:rsidR="00000000" w:rsidRPr="00A85D64" w:rsidP="00A85D64">
      <w:pPr>
        <w:pStyle w:val="Heading1"/>
      </w:pPr>
      <w:bookmarkStart w:id="7" w:name="O_1295692"/>
      <w:bookmarkEnd w:id="7"/>
      <w:r w:rsidRPr="00A85D64">
        <w:t>Unit Mapping Information</w:t>
      </w:r>
    </w:p>
    <w:p w:rsidR="00000000" w:rsidRPr="00A85D64" w:rsidP="00AF2DCE">
      <w:pPr>
        <w:pStyle w:val="BodyText"/>
      </w:pPr>
      <w:r w:rsidRPr="00A85D64">
        <w:t>Supersedes and is equivalent to CPCCCA3010A Install and replace windows and doors.</w:t>
      </w:r>
    </w:p>
    <w:p w:rsidR="00000000" w:rsidRPr="00A85D64" w:rsidP="00A85D64">
      <w:pPr>
        <w:pStyle w:val="Heading1"/>
      </w:pPr>
      <w:bookmarkStart w:id="8" w:name="O_1295699"/>
      <w:bookmarkEnd w:id="8"/>
      <w:r w:rsidRPr="00A85D64">
        <w:t>Links</w:t>
      </w:r>
    </w:p>
    <w:p w:rsidR="00000000" w:rsidRPr="00A85D64" w:rsidP="00AF2DCE">
      <w:pPr>
        <w:pStyle w:val="BodyText"/>
      </w:pPr>
      <w:r w:rsidRPr="00A85D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2F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5D64" w:rsidP="00AF2DCE">
      <w:pPr>
        <w:pStyle w:val="BodyText"/>
        <w:sectPr w:rsidSect="00A85D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5D64" w:rsidP="00A85D64">
      <w:pPr>
        <w:pStyle w:val="SuperHeading"/>
      </w:pPr>
      <w:r w:rsidRPr="00A85D64">
        <w:t>Assessment Requirements for CPCCCA3010 Install windows and doors</w:t>
      </w:r>
    </w:p>
    <w:p w:rsidR="00000000" w:rsidRPr="00A85D64" w:rsidP="00A85D64">
      <w:pPr>
        <w:pStyle w:val="Heading1"/>
      </w:pPr>
      <w:bookmarkStart w:id="9" w:name="O_1295690"/>
      <w:bookmarkEnd w:id="9"/>
      <w:r w:rsidRPr="00A85D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 xml:space="preserve">Updated reference to general construction induction </w:t>
            </w:r>
            <w:r w:rsidRPr="00A85D64">
              <w:t>training program.</w:t>
            </w:r>
          </w:p>
        </w:tc>
      </w:tr>
      <w:tr w:rsidTr="00A85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D64">
            <w:pPr>
              <w:pStyle w:val="BodyText"/>
              <w:rPr>
                <w:lang w:val="en-NZ"/>
              </w:rPr>
            </w:pPr>
            <w:r w:rsidRPr="00A85D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D64" w:rsidP="00A85D64">
            <w:pPr>
              <w:pStyle w:val="BodyText"/>
            </w:pPr>
            <w:r w:rsidRPr="00A85D64">
              <w:t>This version first released with CPC Construction, Plumbing and Services Training Package Release 5.0.</w:t>
            </w:r>
          </w:p>
          <w:p w:rsidR="00000000" w:rsidRPr="00A85D64" w:rsidP="00A85D64">
            <w:pPr>
              <w:pStyle w:val="BodyText"/>
            </w:pPr>
            <w:r w:rsidRPr="00A85D64">
              <w:t>Supersedes and is equivalent to CPCCCA3010A Install and replace windows and doors.  Title change.  Updated to meet the Stand</w:t>
            </w:r>
            <w:r w:rsidRPr="00A85D64">
              <w:t>ards for Training Packages 2012.</w:t>
            </w:r>
          </w:p>
        </w:tc>
      </w:tr>
    </w:tbl>
    <w:p w:rsidR="00000000" w:rsidRPr="00A85D64" w:rsidP="00A85D64">
      <w:pPr>
        <w:pStyle w:val="BodyText"/>
      </w:pPr>
    </w:p>
    <w:p w:rsidR="00000000" w:rsidRPr="00A85D64" w:rsidP="00A85D64">
      <w:pPr>
        <w:pStyle w:val="AllowPageBreak"/>
      </w:pPr>
    </w:p>
    <w:p w:rsidR="00000000" w:rsidRPr="00A85D64" w:rsidP="00A85D64">
      <w:pPr>
        <w:pStyle w:val="Heading1"/>
      </w:pPr>
      <w:bookmarkStart w:id="10" w:name="O_1295689"/>
      <w:bookmarkEnd w:id="10"/>
      <w:r w:rsidRPr="00A85D64">
        <w:t>Performance Evidence</w:t>
      </w:r>
    </w:p>
    <w:p w:rsidR="00000000" w:rsidRPr="00A85D64" w:rsidP="00AF2DCE">
      <w:pPr>
        <w:pStyle w:val="BodyText"/>
      </w:pPr>
      <w:r w:rsidRPr="00A85D64">
        <w:t xml:space="preserve">To demonstrate competency, a candidate must meet the performance criteria of this unit by: </w:t>
      </w:r>
    </w:p>
    <w:p w:rsidR="00000000" w:rsidRPr="00A85D64" w:rsidP="00A85D64">
      <w:pPr>
        <w:pStyle w:val="ListBullet"/>
      </w:pPr>
      <w:r w:rsidRPr="00A85D64">
        <w:t>installing in wall frames:</w:t>
      </w:r>
    </w:p>
    <w:p w:rsidR="00000000" w:rsidRPr="00A85D64" w:rsidP="00A85D64">
      <w:pPr>
        <w:pStyle w:val="ListBullet2"/>
      </w:pPr>
      <w:r w:rsidRPr="00A85D64">
        <w:t>a standard window</w:t>
      </w:r>
    </w:p>
    <w:p w:rsidR="00000000" w:rsidRPr="00A85D64" w:rsidP="00A85D64">
      <w:pPr>
        <w:pStyle w:val="ListBullet2"/>
      </w:pPr>
      <w:r w:rsidRPr="00A85D64">
        <w:t>a sliding cavity door unit and door</w:t>
      </w:r>
    </w:p>
    <w:p w:rsidR="00000000" w:rsidRPr="00A85D64" w:rsidP="00A85D64">
      <w:pPr>
        <w:pStyle w:val="ListBullet"/>
      </w:pPr>
      <w:r w:rsidRPr="00A85D64">
        <w:t xml:space="preserve">constructing and fitting a standard external rebated door frame </w:t>
      </w:r>
    </w:p>
    <w:p w:rsidR="00000000" w:rsidRPr="00A85D64" w:rsidP="00A85D64">
      <w:pPr>
        <w:pStyle w:val="ListBullet"/>
      </w:pPr>
      <w:r w:rsidRPr="00A85D64">
        <w:t>fitting and hanging one door, including door furniture, privacy set and door stops</w:t>
      </w:r>
    </w:p>
    <w:p w:rsidR="00000000" w:rsidRPr="00A85D64" w:rsidP="00A85D64">
      <w:pPr>
        <w:pStyle w:val="ListBullet"/>
      </w:pPr>
      <w:r w:rsidRPr="00A85D64">
        <w:t>fitting and hanging a pair of doors.</w:t>
      </w:r>
    </w:p>
    <w:p w:rsidR="00000000" w:rsidRPr="00A85D64" w:rsidP="00A85D64">
      <w:pPr>
        <w:pStyle w:val="AllowPageBreak"/>
      </w:pPr>
    </w:p>
    <w:p w:rsidR="00000000" w:rsidRPr="00A85D64" w:rsidP="00A85D64">
      <w:pPr>
        <w:pStyle w:val="Heading1"/>
      </w:pPr>
      <w:bookmarkStart w:id="11" w:name="O_1295688"/>
      <w:bookmarkEnd w:id="11"/>
      <w:r w:rsidRPr="00A85D64">
        <w:t>Knowledge Evidence</w:t>
      </w:r>
    </w:p>
    <w:p w:rsidR="00000000" w:rsidRPr="00A85D64" w:rsidP="00AF2DCE">
      <w:pPr>
        <w:pStyle w:val="BodyText"/>
      </w:pPr>
      <w:r w:rsidRPr="00A85D64">
        <w:t>To be competent in this unit, a c</w:t>
      </w:r>
      <w:r w:rsidRPr="00A85D64">
        <w:t>andidate must demonstrate knowledge of:</w:t>
      </w:r>
    </w:p>
    <w:p w:rsidR="00000000" w:rsidRPr="00A85D64" w:rsidP="00A85D64">
      <w:pPr>
        <w:pStyle w:val="ListBullet"/>
      </w:pPr>
      <w:r w:rsidRPr="00A85D64">
        <w:t xml:space="preserve">compliance requirements of the National Construction Code and Australian Standards, relevant to installing windows and doors, including </w:t>
      </w:r>
      <w:r w:rsidRPr="00A85D64">
        <w:rPr>
          <w:rStyle w:val="Emphasis"/>
        </w:rPr>
        <w:t xml:space="preserve">AS2688 Timber and composite doors </w:t>
      </w:r>
      <w:r w:rsidRPr="00A85D64">
        <w:t xml:space="preserve">and </w:t>
      </w:r>
      <w:r w:rsidRPr="00A85D64">
        <w:rPr>
          <w:rStyle w:val="Emphasis"/>
        </w:rPr>
        <w:t xml:space="preserve"> AS2047 Windows and external glazed doors</w:t>
      </w:r>
      <w:r w:rsidRPr="00A85D64">
        <w:rPr>
          <w:rStyle w:val="Emphasis"/>
        </w:rPr>
        <w:t xml:space="preserve"> in buildings</w:t>
      </w:r>
      <w:r w:rsidRPr="00A85D64">
        <w:t xml:space="preserve">, and </w:t>
      </w:r>
      <w:r w:rsidRPr="00A85D64">
        <w:rPr>
          <w:rStyle w:val="Emphasis"/>
        </w:rPr>
        <w:t xml:space="preserve">Australian Window Association - An Industry Guide to the Correct Fixing of Windows and Doors </w:t>
      </w:r>
    </w:p>
    <w:p w:rsidR="00000000" w:rsidRPr="00A85D64" w:rsidP="00A85D64">
      <w:pPr>
        <w:pStyle w:val="ListBullet"/>
      </w:pPr>
      <w:r w:rsidRPr="00A85D64">
        <w:t>workplace quality policies and standards relevant to installing windows and doors</w:t>
      </w:r>
    </w:p>
    <w:p w:rsidR="00000000" w:rsidRPr="00A85D64" w:rsidP="00A85D64">
      <w:pPr>
        <w:pStyle w:val="ListBullet"/>
      </w:pPr>
      <w:r w:rsidRPr="00A85D64">
        <w:t>safety requirements for installing windows and doors</w:t>
      </w:r>
    </w:p>
    <w:p w:rsidR="00000000" w:rsidRPr="00A85D64" w:rsidP="00A85D64">
      <w:pPr>
        <w:pStyle w:val="ListBullet"/>
      </w:pPr>
      <w:r w:rsidRPr="00A85D64">
        <w:t>flashing requirements and installation techniques relevant to installing windows and doors</w:t>
      </w:r>
    </w:p>
    <w:p w:rsidR="00000000" w:rsidRPr="00A85D64" w:rsidP="00A85D64">
      <w:pPr>
        <w:pStyle w:val="ListBullet"/>
      </w:pPr>
      <w:r w:rsidRPr="00A85D64">
        <w:t>plans, specifications and drawings for installing windows and doors</w:t>
      </w:r>
    </w:p>
    <w:p w:rsidR="00000000" w:rsidRPr="00A85D64" w:rsidP="00A85D64">
      <w:pPr>
        <w:pStyle w:val="ListBullet"/>
      </w:pPr>
      <w:r w:rsidRPr="00A85D64">
        <w:t>types of tools and equipment required to install windows and doors, their characteristics, uses a</w:t>
      </w:r>
      <w:r w:rsidRPr="00A85D64">
        <w:t>nd limitations</w:t>
      </w:r>
    </w:p>
    <w:p w:rsidR="00000000" w:rsidRPr="00A85D64" w:rsidP="00A85D64">
      <w:pPr>
        <w:pStyle w:val="ListBullet"/>
      </w:pPr>
      <w:r w:rsidRPr="00A85D64">
        <w:t>processes for setting out windows and doors</w:t>
      </w:r>
    </w:p>
    <w:p w:rsidR="00000000" w:rsidRPr="00A85D64" w:rsidP="00A85D64">
      <w:pPr>
        <w:pStyle w:val="ListBullet"/>
      </w:pPr>
      <w:r w:rsidRPr="00A85D64">
        <w:t>processes for calculating material requirements for installing windows and doors</w:t>
      </w:r>
    </w:p>
    <w:p w:rsidR="00000000" w:rsidRPr="00A85D64" w:rsidP="00A85D64">
      <w:pPr>
        <w:pStyle w:val="ListBullet"/>
      </w:pPr>
      <w:r w:rsidRPr="00A85D64">
        <w:t>materials relevant to installing windows and doors</w:t>
      </w:r>
    </w:p>
    <w:p w:rsidR="00000000" w:rsidRPr="00A85D64" w:rsidP="00A85D64">
      <w:pPr>
        <w:pStyle w:val="ListBullet"/>
      </w:pPr>
      <w:r w:rsidRPr="00A85D64">
        <w:t>various types of doors:</w:t>
      </w:r>
    </w:p>
    <w:p w:rsidR="00000000" w:rsidRPr="00A85D64" w:rsidP="00A85D64">
      <w:pPr>
        <w:pStyle w:val="ListBullet2"/>
      </w:pPr>
      <w:r w:rsidRPr="00A85D64">
        <w:t>flush panel, framed and panelled, and gl</w:t>
      </w:r>
      <w:r w:rsidRPr="00A85D64">
        <w:t>azed</w:t>
      </w:r>
    </w:p>
    <w:p w:rsidR="00000000" w:rsidRPr="00A85D64" w:rsidP="00A85D64">
      <w:pPr>
        <w:pStyle w:val="ListBullet2"/>
      </w:pPr>
      <w:r w:rsidRPr="00A85D64">
        <w:t>hinged door units including standard doors, sliding, flywire, combination window and door units, door sidelight units (glazed or unglazed) and internal doors</w:t>
      </w:r>
    </w:p>
    <w:p w:rsidR="00000000" w:rsidRPr="00A85D64" w:rsidP="00A85D64">
      <w:pPr>
        <w:pStyle w:val="ListBullet2"/>
      </w:pPr>
      <w:r w:rsidRPr="00A85D64">
        <w:t>jambs, stiles and sills</w:t>
      </w:r>
    </w:p>
    <w:p w:rsidR="00000000" w:rsidRPr="00A85D64" w:rsidP="00A85D64">
      <w:pPr>
        <w:pStyle w:val="ListBullet2"/>
      </w:pPr>
      <w:r w:rsidRPr="00A85D64">
        <w:t>flashing</w:t>
      </w:r>
    </w:p>
    <w:p w:rsidR="00000000" w:rsidRPr="00A85D64" w:rsidP="00A85D64">
      <w:pPr>
        <w:pStyle w:val="ListBullet"/>
      </w:pPr>
      <w:r w:rsidRPr="00A85D64">
        <w:t>door furniture, including flush pulls, latches and deadlocks, push plates and closers, handles and locks</w:t>
      </w:r>
    </w:p>
    <w:p w:rsidR="00000000" w:rsidRPr="00A85D64" w:rsidP="00A85D64">
      <w:pPr>
        <w:pStyle w:val="ListBullet"/>
      </w:pPr>
      <w:r w:rsidRPr="00A85D64">
        <w:t>window, door installation including flashing and fixing</w:t>
      </w:r>
    </w:p>
    <w:p w:rsidR="00000000" w:rsidRPr="00A85D64" w:rsidP="00A85D64">
      <w:pPr>
        <w:pStyle w:val="ListBullet"/>
      </w:pPr>
      <w:r w:rsidRPr="00A85D64">
        <w:t>types of windows and doors, materials used and their characteristics and uses.</w:t>
      </w:r>
    </w:p>
    <w:p w:rsidR="00000000" w:rsidRPr="00A85D64" w:rsidP="00A85D64">
      <w:pPr>
        <w:pStyle w:val="AllowPageBreak"/>
      </w:pPr>
    </w:p>
    <w:p w:rsidR="00000000" w:rsidRPr="00A85D64" w:rsidP="00A85D64">
      <w:pPr>
        <w:pStyle w:val="Heading1"/>
      </w:pPr>
      <w:bookmarkStart w:id="12" w:name="O_1295687"/>
      <w:bookmarkEnd w:id="12"/>
      <w:r w:rsidRPr="00A85D64">
        <w:t>Assessment Conditions</w:t>
      </w:r>
    </w:p>
    <w:p w:rsidR="00000000" w:rsidRPr="00A85D64" w:rsidP="00AF2DCE">
      <w:pPr>
        <w:pStyle w:val="BodyText"/>
      </w:pPr>
      <w:r w:rsidRPr="00A85D64">
        <w:t xml:space="preserve">Assessors must meet the requirements for assessors contained in the Standards for Registered Training Organisations. </w:t>
      </w:r>
    </w:p>
    <w:p w:rsidR="00000000" w:rsidRPr="00A85D64" w:rsidP="00AF2DCE">
      <w:pPr>
        <w:pStyle w:val="BodyText"/>
      </w:pPr>
      <w:r w:rsidRPr="00A85D64">
        <w:t>This unit must be assessed in the workplace or a close simulation reflecting workplace conditions and stand</w:t>
      </w:r>
      <w:r w:rsidRPr="00A85D64">
        <w:t>ards, materials, equipment, activities, responsibilities, procedures, safety requirements and environmental considerations.</w:t>
      </w:r>
    </w:p>
    <w:p w:rsidR="00000000" w:rsidRPr="00A85D64" w:rsidP="00A85D64">
      <w:pPr>
        <w:pStyle w:val="Heading1"/>
      </w:pPr>
      <w:bookmarkStart w:id="13" w:name="O_1295700"/>
      <w:bookmarkEnd w:id="13"/>
      <w:r w:rsidRPr="00A85D64">
        <w:t>Links</w:t>
      </w:r>
    </w:p>
    <w:p w:rsidR="00000000" w:rsidRPr="00A85D64" w:rsidP="00AF2DCE">
      <w:pPr>
        <w:pStyle w:val="BodyText"/>
      </w:pPr>
      <w:r w:rsidRPr="00A85D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2F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5D64" w:rsidP="00A85D64"/>
    <w:sectPr w:rsidSect="00A85D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 w:rsidRPr="00AF2DCE" w:rsidP="00AF2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CE" w:rsidP="00A85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DCE" w:rsidP="00A85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2DCE" w:rsidP="00A85D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 w:rsidP="00A85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DCE">
      <w:t>Approved</w:t>
    </w:r>
    <w:r w:rsidR="00AF2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D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DCE">
      <w:rPr>
        <w:noProof/>
      </w:rPr>
      <w:t>4</w:t>
    </w:r>
    <w:r>
      <w:rPr>
        <w:noProof/>
      </w:rPr>
      <w:fldChar w:fldCharType="end"/>
    </w:r>
  </w:p>
  <w:p w:rsidR="00A85D64" w:rsidP="00A85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DCE">
      <w:t>BuildSkills Australia</w:t>
    </w:r>
    <w:r w:rsidR="00AF2DCE">
      <w:fldChar w:fldCharType="end"/>
    </w:r>
  </w:p>
  <w:p w:rsidR="00A85D64" w:rsidP="00A85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D64" w:rsidRPr="00AF2DCE" w:rsidP="00AF2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DCE" w:rsidRPr="002D2AF8" w:rsidP="00A85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CPCCCA3010 Install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2DCE" w:rsidP="00A85D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4" w:rsidRPr="002D2AF8" w:rsidP="00A85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DCE">
      <w:t>CPCCCA3010 Install windows and doors</w:t>
    </w:r>
    <w:r w:rsidR="00AF2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DCE">
      <w:rPr>
        <w:noProof/>
      </w:rPr>
      <w:t>2 March 2025</w:t>
    </w:r>
    <w:r>
      <w:fldChar w:fldCharType="end"/>
    </w:r>
  </w:p>
  <w:p w:rsidR="00A85D64" w:rsidP="00A85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A7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7E7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24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D64"/>
  </w:style>
  <w:style w:type="character" w:customStyle="1" w:styleId="Heading1Char">
    <w:name w:val="Heading 1 Char"/>
    <w:basedOn w:val="DefaultParagraphFont"/>
    <w:link w:val="Heading1"/>
    <w:rsid w:val="00A85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D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5D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5D64"/>
    <w:rPr>
      <w:i/>
    </w:rPr>
  </w:style>
  <w:style w:type="paragraph" w:customStyle="1" w:styleId="SuperHeading">
    <w:name w:val="SuperHeading"/>
    <w:basedOn w:val="Normal"/>
    <w:rsid w:val="00A85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5D64"/>
    <w:rPr>
      <w:b/>
      <w:spacing w:val="0"/>
    </w:rPr>
  </w:style>
  <w:style w:type="paragraph" w:customStyle="1" w:styleId="SuperTitle">
    <w:name w:val="SuperTitle"/>
    <w:basedOn w:val="Title"/>
    <w:rsid w:val="00A85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D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D64"/>
  </w:style>
  <w:style w:type="paragraph" w:styleId="TableofFigures">
    <w:name w:val="table of figures"/>
    <w:basedOn w:val="Normal"/>
    <w:next w:val="Normal"/>
    <w:semiHidden/>
    <w:rsid w:val="00A85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D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5D64"/>
    <w:rPr>
      <w:rFonts w:ascii="Wingdings" w:hAnsi="Wingdings"/>
    </w:rPr>
  </w:style>
  <w:style w:type="paragraph" w:customStyle="1" w:styleId="TableHeading">
    <w:name w:val="Table Heading"/>
    <w:basedOn w:val="HeadingBase"/>
    <w:rsid w:val="00A85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D64"/>
    <w:rPr>
      <w:color w:val="0033CC"/>
      <w:u w:val="none"/>
    </w:rPr>
  </w:style>
  <w:style w:type="paragraph" w:customStyle="1" w:styleId="BodyTextRight">
    <w:name w:val="Body Text Right"/>
    <w:basedOn w:val="BodyText"/>
    <w:rsid w:val="00A85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D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D64"/>
    <w:rPr>
      <w:sz w:val="32"/>
    </w:rPr>
  </w:style>
  <w:style w:type="paragraph" w:customStyle="1" w:styleId="HeadingProcedure">
    <w:name w:val="Heading Procedure"/>
    <w:basedOn w:val="HeadingBase"/>
    <w:next w:val="Normal"/>
    <w:rsid w:val="00A85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D64"/>
    <w:pPr>
      <w:spacing w:before="60" w:after="60"/>
    </w:pPr>
  </w:style>
  <w:style w:type="paragraph" w:styleId="ListContinue">
    <w:name w:val="List Continue"/>
    <w:basedOn w:val="List"/>
    <w:rsid w:val="00A85D64"/>
    <w:pPr>
      <w:ind w:firstLine="0"/>
    </w:pPr>
  </w:style>
  <w:style w:type="paragraph" w:customStyle="1" w:styleId="ListNote">
    <w:name w:val="List Note"/>
    <w:basedOn w:val="List"/>
    <w:rsid w:val="00A85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D64"/>
    <w:rPr>
      <w:rFonts w:ascii="Courier New" w:hAnsi="Courier New"/>
    </w:rPr>
  </w:style>
  <w:style w:type="paragraph" w:customStyle="1" w:styleId="NoteBullet">
    <w:name w:val="Note Bullet"/>
    <w:basedOn w:val="Note"/>
    <w:rsid w:val="00A85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D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D64"/>
    <w:rPr>
      <w:b/>
      <w:smallCaps/>
    </w:rPr>
  </w:style>
  <w:style w:type="paragraph" w:customStyle="1" w:styleId="TableListNumber">
    <w:name w:val="Table List Number"/>
    <w:basedOn w:val="ListNumber"/>
    <w:rsid w:val="00A85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D64"/>
    <w:pPr>
      <w:numPr>
        <w:numId w:val="9"/>
      </w:numPr>
    </w:pPr>
  </w:style>
  <w:style w:type="paragraph" w:customStyle="1" w:styleId="ListAlpha2">
    <w:name w:val="List Alpha 2"/>
    <w:basedOn w:val="List2"/>
    <w:rsid w:val="00A85D64"/>
    <w:pPr>
      <w:numPr>
        <w:numId w:val="8"/>
      </w:numPr>
    </w:pPr>
  </w:style>
  <w:style w:type="paragraph" w:styleId="List2">
    <w:name w:val="List 2"/>
    <w:basedOn w:val="BodyText"/>
    <w:rsid w:val="00A85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D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D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D64"/>
    <w:pPr>
      <w:numPr>
        <w:numId w:val="4"/>
      </w:numPr>
    </w:pPr>
  </w:style>
  <w:style w:type="paragraph" w:styleId="ListContinue2">
    <w:name w:val="List Continue 2"/>
    <w:basedOn w:val="List2"/>
    <w:rsid w:val="00A85D64"/>
    <w:pPr>
      <w:ind w:firstLine="0"/>
    </w:pPr>
  </w:style>
  <w:style w:type="paragraph" w:styleId="ListContinue3">
    <w:name w:val="List Continue 3"/>
    <w:basedOn w:val="List3"/>
    <w:rsid w:val="00A85D64"/>
    <w:pPr>
      <w:ind w:left="1021" w:firstLine="0"/>
    </w:pPr>
  </w:style>
  <w:style w:type="paragraph" w:styleId="ListContinue4">
    <w:name w:val="List Continue 4"/>
    <w:basedOn w:val="List4"/>
    <w:rsid w:val="00A85D64"/>
    <w:pPr>
      <w:ind w:firstLine="0"/>
    </w:pPr>
  </w:style>
  <w:style w:type="paragraph" w:styleId="ListContinue5">
    <w:name w:val="List Continue 5"/>
    <w:basedOn w:val="List5"/>
    <w:rsid w:val="00A85D64"/>
    <w:pPr>
      <w:ind w:firstLine="0"/>
    </w:pPr>
  </w:style>
  <w:style w:type="paragraph" w:styleId="ListNumber3">
    <w:name w:val="List Number 3"/>
    <w:basedOn w:val="List3"/>
    <w:rsid w:val="00A85D64"/>
    <w:pPr>
      <w:numPr>
        <w:numId w:val="5"/>
      </w:numPr>
    </w:pPr>
  </w:style>
  <w:style w:type="paragraph" w:styleId="ListNumber4">
    <w:name w:val="List Number 4"/>
    <w:basedOn w:val="List4"/>
    <w:rsid w:val="00A85D64"/>
    <w:pPr>
      <w:numPr>
        <w:numId w:val="6"/>
      </w:numPr>
    </w:pPr>
  </w:style>
  <w:style w:type="paragraph" w:styleId="ListNumber5">
    <w:name w:val="List Number 5"/>
    <w:basedOn w:val="List5"/>
    <w:rsid w:val="00A85D64"/>
    <w:pPr>
      <w:numPr>
        <w:numId w:val="7"/>
      </w:numPr>
    </w:pPr>
  </w:style>
  <w:style w:type="paragraph" w:styleId="BlockText">
    <w:name w:val="Block Text"/>
    <w:basedOn w:val="Normal"/>
    <w:rsid w:val="00A85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D64"/>
    <w:rPr>
      <w:sz w:val="16"/>
      <w:vertAlign w:val="superscript"/>
    </w:rPr>
  </w:style>
  <w:style w:type="character" w:customStyle="1" w:styleId="Symbols">
    <w:name w:val="Symbols"/>
    <w:basedOn w:val="DefaultParagraphFont"/>
    <w:rsid w:val="00A85D64"/>
    <w:rPr>
      <w:rFonts w:ascii="Symbol" w:hAnsi="Symbol"/>
    </w:rPr>
  </w:style>
  <w:style w:type="character" w:customStyle="1" w:styleId="MenuOptions">
    <w:name w:val="Menu Options"/>
    <w:basedOn w:val="DefaultParagraphFont"/>
    <w:rsid w:val="00A85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D64"/>
    <w:rPr>
      <w:b/>
    </w:rPr>
  </w:style>
  <w:style w:type="character" w:customStyle="1" w:styleId="Underlined">
    <w:name w:val="Underlined"/>
    <w:basedOn w:val="DefaultParagraphFont"/>
    <w:rsid w:val="00A85D64"/>
    <w:rPr>
      <w:u w:val="single"/>
    </w:rPr>
  </w:style>
  <w:style w:type="paragraph" w:customStyle="1" w:styleId="TableBodyTextRight">
    <w:name w:val="Table Body Text Right"/>
    <w:basedOn w:val="TableBodyText"/>
    <w:rsid w:val="00A85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D64"/>
    <w:rPr>
      <w:sz w:val="18"/>
    </w:rPr>
  </w:style>
  <w:style w:type="paragraph" w:customStyle="1" w:styleId="BodySmallRight">
    <w:name w:val="Body Small Right"/>
    <w:basedOn w:val="BodyTextRight"/>
    <w:rsid w:val="00A85D64"/>
    <w:rPr>
      <w:sz w:val="18"/>
      <w:szCs w:val="18"/>
    </w:rPr>
  </w:style>
  <w:style w:type="paragraph" w:customStyle="1" w:styleId="MarginEdition">
    <w:name w:val="Margin Edition"/>
    <w:basedOn w:val="MarginNote"/>
    <w:rsid w:val="00A85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D64"/>
    <w:rPr>
      <w:sz w:val="2"/>
      <w:szCs w:val="2"/>
    </w:rPr>
  </w:style>
  <w:style w:type="character" w:customStyle="1" w:styleId="Small">
    <w:name w:val="Small"/>
    <w:basedOn w:val="DefaultParagraphFont"/>
    <w:rsid w:val="00A85D64"/>
    <w:rPr>
      <w:sz w:val="16"/>
    </w:rPr>
  </w:style>
  <w:style w:type="paragraph" w:customStyle="1" w:styleId="WideTable">
    <w:name w:val="Wide Table"/>
    <w:basedOn w:val="Normal"/>
    <w:rsid w:val="00A85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D64"/>
  </w:style>
  <w:style w:type="paragraph" w:styleId="Quote">
    <w:name w:val="Quote"/>
    <w:basedOn w:val="Heading1"/>
    <w:link w:val="QuoteChar"/>
    <w:qFormat/>
    <w:rsid w:val="00A85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D64"/>
    <w:pPr>
      <w:pageBreakBefore/>
    </w:pPr>
  </w:style>
  <w:style w:type="paragraph" w:customStyle="1" w:styleId="Border">
    <w:name w:val="Border"/>
    <w:basedOn w:val="Normal"/>
    <w:qFormat/>
    <w:rsid w:val="00A85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D64"/>
    <w:rPr>
      <w:u w:val="single"/>
    </w:rPr>
  </w:style>
  <w:style w:type="character" w:customStyle="1" w:styleId="BoldandItalics">
    <w:name w:val="Bold and Italics"/>
    <w:qFormat/>
    <w:rsid w:val="00A85D64"/>
    <w:rPr>
      <w:b/>
      <w:i/>
      <w:u w:val="none"/>
    </w:rPr>
  </w:style>
  <w:style w:type="paragraph" w:styleId="BalloonText">
    <w:name w:val="Balloon Text"/>
    <w:basedOn w:val="Normal"/>
    <w:link w:val="BalloonTextChar"/>
    <w:rsid w:val="00A85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D64"/>
    <w:pPr>
      <w:spacing w:before="0" w:after="0"/>
    </w:pPr>
  </w:style>
  <w:style w:type="paragraph" w:customStyle="1" w:styleId="BodyTextBold">
    <w:name w:val="Body Text Bold"/>
    <w:basedOn w:val="BodyText"/>
    <w:qFormat/>
    <w:rsid w:val="00A85D64"/>
    <w:rPr>
      <w:b/>
    </w:rPr>
  </w:style>
  <w:style w:type="character" w:styleId="Hyperlink">
    <w:name w:val="Hyperlink"/>
    <w:basedOn w:val="DefaultParagraphFont"/>
    <w:uiPriority w:val="99"/>
    <w:unhideWhenUsed/>
    <w:rsid w:val="00AF2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6778</Characters>
  <Application>Microsoft Office Word</Application>
  <DocSecurity>0</DocSecurity>
  <Lines>260</Lines>
  <Paragraphs>149</Paragraphs>
  <ScaleCrop>false</ScaleCrop>
  <Company>Author-it Software Corporation Ltd.</Company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CPCCCA3010 Install windows and doors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