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881" w:rsidP="00CB58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CPCCCA2011 Handle carpentry materials</w:t>
      </w:r>
      <w:r>
        <w:fldChar w:fldCharType="end"/>
      </w:r>
    </w:p>
    <w:p w:rsidR="00CB5881" w:rsidP="00CB5881">
      <w:pPr>
        <w:pStyle w:val="Version"/>
        <w:sectPr w:rsidSect="00187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793B" w:rsidP="0018793B">
      <w:pPr>
        <w:pStyle w:val="SuperHeading"/>
      </w:pPr>
      <w:r w:rsidRPr="0018793B">
        <w:t>Assessment Requirements for CPCCCA2011 Handle carpentry materials</w:t>
      </w:r>
    </w:p>
    <w:p w:rsidR="00000000" w:rsidRPr="0018793B" w:rsidP="0018793B">
      <w:pPr>
        <w:pStyle w:val="Heading1"/>
      </w:pPr>
      <w:bookmarkStart w:id="1" w:name="O_1295418"/>
      <w:bookmarkEnd w:id="1"/>
      <w:r w:rsidRPr="001879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8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3B">
            <w:pPr>
              <w:pStyle w:val="BodyText"/>
              <w:rPr>
                <w:lang w:val="en-NZ"/>
              </w:rPr>
            </w:pPr>
            <w:r w:rsidRPr="0018793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3B">
            <w:pPr>
              <w:pStyle w:val="BodyText"/>
              <w:rPr>
                <w:lang w:val="en-NZ"/>
              </w:rPr>
            </w:pPr>
            <w:r w:rsidRPr="0018793B">
              <w:t>Updated reference to general construction induction training program.</w:t>
            </w:r>
          </w:p>
        </w:tc>
      </w:tr>
      <w:tr w:rsidTr="0018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3B">
            <w:pPr>
              <w:pStyle w:val="BodyText"/>
              <w:rPr>
                <w:lang w:val="en-NZ"/>
              </w:rPr>
            </w:pPr>
            <w:r w:rsidRPr="0018793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93B" w:rsidP="0018793B">
            <w:pPr>
              <w:pStyle w:val="BodyText"/>
            </w:pPr>
            <w:r w:rsidRPr="0018793B">
              <w:t>This version first released with CPC Construction, Plumbing and Services Training Package Release 5.0.</w:t>
            </w:r>
          </w:p>
          <w:p w:rsidR="00000000" w:rsidRPr="0018793B" w:rsidP="0018793B">
            <w:pPr>
              <w:pStyle w:val="BodyText"/>
            </w:pPr>
            <w:r w:rsidRPr="0018793B">
              <w:t>Supersedes and is equivalent to CPCCCA2011A Handle carpentry materials.  Updated to meet the Standards for Training Packages 2012.</w:t>
            </w:r>
          </w:p>
        </w:tc>
      </w:tr>
    </w:tbl>
    <w:p w:rsidR="00000000" w:rsidRPr="0018793B" w:rsidP="0018793B">
      <w:pPr>
        <w:pStyle w:val="BodyText"/>
      </w:pPr>
    </w:p>
    <w:p w:rsidR="00000000" w:rsidRPr="0018793B" w:rsidP="0018793B">
      <w:pPr>
        <w:pStyle w:val="AllowPageBreak"/>
      </w:pPr>
    </w:p>
    <w:p w:rsidR="00000000" w:rsidRPr="0018793B" w:rsidP="0018793B">
      <w:pPr>
        <w:pStyle w:val="Heading1"/>
      </w:pPr>
      <w:bookmarkStart w:id="2" w:name="O_1295417"/>
      <w:bookmarkEnd w:id="2"/>
      <w:r w:rsidRPr="0018793B">
        <w:t>P</w:t>
      </w:r>
      <w:r w:rsidRPr="0018793B">
        <w:t>erformance Evidence</w:t>
      </w:r>
    </w:p>
    <w:p w:rsidR="00000000" w:rsidRPr="0018793B" w:rsidP="00CB5881">
      <w:pPr>
        <w:pStyle w:val="BodyText"/>
      </w:pPr>
      <w:r w:rsidRPr="0018793B">
        <w:t>To demonstrate competency, a candidate must meet the performance criteria of this unit by handling carpentry materials for three different carpentry tasks, including:</w:t>
      </w:r>
    </w:p>
    <w:p w:rsidR="00000000" w:rsidRPr="0018793B" w:rsidP="0018793B">
      <w:pPr>
        <w:pStyle w:val="ListBullet"/>
      </w:pPr>
      <w:r w:rsidRPr="0018793B">
        <w:t>safely handling, sorting and stacking:</w:t>
      </w:r>
    </w:p>
    <w:p w:rsidR="00000000" w:rsidRPr="0018793B" w:rsidP="0018793B">
      <w:pPr>
        <w:pStyle w:val="ListBullet2"/>
      </w:pPr>
      <w:r w:rsidRPr="0018793B">
        <w:t>varying lengths of timber or similarly-proportioned materials onto an Australian standard pallet, a minimum of 0.5 cubic metres, secured ready for mechanical handling</w:t>
      </w:r>
    </w:p>
    <w:p w:rsidR="00000000" w:rsidRPr="0018793B" w:rsidP="0018793B">
      <w:pPr>
        <w:pStyle w:val="ListBullet2"/>
      </w:pPr>
      <w:r w:rsidRPr="0018793B">
        <w:t>different sizes and types of sheet material onto an Australian standard pallet, a minimum</w:t>
      </w:r>
      <w:r w:rsidRPr="0018793B">
        <w:t xml:space="preserve"> of 0.1 cubic metres, secured ready for mechanical handling</w:t>
      </w:r>
    </w:p>
    <w:p w:rsidR="00000000" w:rsidRPr="0018793B" w:rsidP="0018793B">
      <w:pPr>
        <w:pStyle w:val="ListBullet"/>
      </w:pPr>
      <w:r w:rsidRPr="0018793B">
        <w:t>preparing the following for mechanical handling:</w:t>
      </w:r>
    </w:p>
    <w:p w:rsidR="00000000" w:rsidRPr="0018793B" w:rsidP="0018793B">
      <w:pPr>
        <w:pStyle w:val="ListBullet2"/>
      </w:pPr>
      <w:r w:rsidRPr="0018793B">
        <w:t>varying lengths of timber or similarly-proportioned materials</w:t>
      </w:r>
    </w:p>
    <w:p w:rsidR="00CB5881" w:rsidP="0018793B">
      <w:pPr>
        <w:pStyle w:val="ListBullet2"/>
      </w:pPr>
      <w:r w:rsidRPr="0018793B">
        <w:t>different sizes and types of sheet material.</w:t>
      </w:r>
    </w:p>
    <w:p w:rsidR="00CB5881" w:rsidP="0018793B">
      <w:pPr>
        <w:pStyle w:val="ListBullet2"/>
      </w:pPr>
    </w:p>
    <w:p w:rsidR="00000000" w:rsidRPr="0018793B" w:rsidP="0018793B">
      <w:pPr>
        <w:pStyle w:val="Heading1"/>
      </w:pPr>
      <w:bookmarkStart w:id="3" w:name="O_1295416"/>
      <w:bookmarkEnd w:id="3"/>
      <w:r w:rsidRPr="0018793B">
        <w:t>Knowledge Evidence</w:t>
      </w:r>
    </w:p>
    <w:p w:rsidR="00000000" w:rsidRPr="0018793B" w:rsidP="00CB5881">
      <w:pPr>
        <w:pStyle w:val="BodyText"/>
      </w:pPr>
      <w:r w:rsidRPr="0018793B">
        <w:t>To be competent in this unit, a candidate must demonstrate knowledge of:</w:t>
      </w:r>
    </w:p>
    <w:p w:rsidR="00000000" w:rsidRPr="0018793B" w:rsidP="0018793B">
      <w:pPr>
        <w:pStyle w:val="ListBullet"/>
      </w:pPr>
      <w:r w:rsidRPr="0018793B">
        <w:t>requirements of Commonwealth and state or territory work health and safety (WHS) legislation relevant to handling carpentry materials</w:t>
      </w:r>
    </w:p>
    <w:p w:rsidR="00000000" w:rsidRPr="0018793B" w:rsidP="0018793B">
      <w:pPr>
        <w:pStyle w:val="ListBullet"/>
      </w:pPr>
      <w:r w:rsidRPr="0018793B">
        <w:t>safety data sheets</w:t>
      </w:r>
    </w:p>
    <w:p w:rsidR="00000000" w:rsidRPr="0018793B" w:rsidP="0018793B">
      <w:pPr>
        <w:pStyle w:val="ListBullet"/>
      </w:pPr>
      <w:r w:rsidRPr="0018793B">
        <w:t>workplace quality policies a</w:t>
      </w:r>
      <w:r w:rsidRPr="0018793B">
        <w:t>nd standards for handling carpentry materials</w:t>
      </w:r>
    </w:p>
    <w:p w:rsidR="00000000" w:rsidRPr="0018793B" w:rsidP="0018793B">
      <w:pPr>
        <w:pStyle w:val="ListBullet"/>
      </w:pPr>
      <w:r w:rsidRPr="0018793B">
        <w:t>safety requirements for handling carpentry materials</w:t>
      </w:r>
    </w:p>
    <w:p w:rsidR="00000000" w:rsidRPr="0018793B" w:rsidP="0018793B">
      <w:pPr>
        <w:pStyle w:val="ListBullet"/>
      </w:pPr>
      <w:r w:rsidRPr="0018793B">
        <w:t>methods of securing materials</w:t>
      </w:r>
    </w:p>
    <w:p w:rsidR="00000000" w:rsidRPr="0018793B" w:rsidP="0018793B">
      <w:pPr>
        <w:pStyle w:val="ListBullet"/>
      </w:pPr>
      <w:r w:rsidRPr="0018793B">
        <w:t>types and uses of tools and equipment for handling carpentry materials:</w:t>
      </w:r>
    </w:p>
    <w:p w:rsidR="00000000" w:rsidRPr="0018793B" w:rsidP="0018793B">
      <w:pPr>
        <w:pStyle w:val="ListBullet2"/>
      </w:pPr>
      <w:r w:rsidRPr="0018793B">
        <w:t>hammers</w:t>
      </w:r>
    </w:p>
    <w:p w:rsidR="00000000" w:rsidRPr="0018793B" w:rsidP="0018793B">
      <w:pPr>
        <w:pStyle w:val="ListBullet2"/>
      </w:pPr>
      <w:r w:rsidRPr="0018793B">
        <w:t>pallets</w:t>
      </w:r>
    </w:p>
    <w:p w:rsidR="00000000" w:rsidRPr="0018793B" w:rsidP="0018793B">
      <w:pPr>
        <w:pStyle w:val="ListBullet2"/>
      </w:pPr>
      <w:r w:rsidRPr="0018793B">
        <w:t>pinch bars</w:t>
      </w:r>
    </w:p>
    <w:p w:rsidR="00000000" w:rsidRPr="0018793B" w:rsidP="0018793B">
      <w:pPr>
        <w:pStyle w:val="ListBullet2"/>
      </w:pPr>
      <w:r w:rsidRPr="0018793B">
        <w:t>tin snips</w:t>
      </w:r>
    </w:p>
    <w:p w:rsidR="00000000" w:rsidRPr="0018793B" w:rsidP="0018793B">
      <w:pPr>
        <w:pStyle w:val="ListBullet2"/>
      </w:pPr>
      <w:r w:rsidRPr="0018793B">
        <w:t>wheelbarrows</w:t>
      </w:r>
    </w:p>
    <w:p w:rsidR="00000000" w:rsidRPr="0018793B" w:rsidP="0018793B">
      <w:pPr>
        <w:pStyle w:val="ListBullet"/>
      </w:pPr>
      <w:r w:rsidRPr="0018793B">
        <w:t>requirements and processes for safely preparing the following materials for mechanical handling, and manual handling, sorting, and stacking:</w:t>
      </w:r>
    </w:p>
    <w:p w:rsidR="00000000" w:rsidRPr="0018793B" w:rsidP="0018793B">
      <w:pPr>
        <w:pStyle w:val="ListBullet2"/>
      </w:pPr>
      <w:r w:rsidRPr="0018793B">
        <w:t>concrete components</w:t>
      </w:r>
    </w:p>
    <w:p w:rsidR="00000000" w:rsidRPr="0018793B" w:rsidP="0018793B">
      <w:pPr>
        <w:pStyle w:val="ListBullet2"/>
      </w:pPr>
      <w:r w:rsidRPr="0018793B">
        <w:t>insulation</w:t>
      </w:r>
    </w:p>
    <w:p w:rsidR="00000000" w:rsidRPr="0018793B" w:rsidP="0018793B">
      <w:pPr>
        <w:pStyle w:val="ListBullet2"/>
      </w:pPr>
      <w:r w:rsidRPr="0018793B">
        <w:t>joinery units</w:t>
      </w:r>
    </w:p>
    <w:p w:rsidR="00000000" w:rsidRPr="0018793B" w:rsidP="0018793B">
      <w:pPr>
        <w:pStyle w:val="ListBullet2"/>
      </w:pPr>
      <w:r w:rsidRPr="0018793B">
        <w:t>metal sheeting</w:t>
      </w:r>
    </w:p>
    <w:p w:rsidR="00000000" w:rsidRPr="0018793B" w:rsidP="0018793B">
      <w:pPr>
        <w:pStyle w:val="ListBullet2"/>
      </w:pPr>
      <w:r w:rsidRPr="0018793B">
        <w:t>paints and sealants</w:t>
      </w:r>
    </w:p>
    <w:p w:rsidR="00000000" w:rsidRPr="0018793B" w:rsidP="0018793B">
      <w:pPr>
        <w:pStyle w:val="ListBullet2"/>
      </w:pPr>
      <w:r w:rsidRPr="0018793B">
        <w:t>plaster or fibre cement sheeting</w:t>
      </w:r>
    </w:p>
    <w:p w:rsidR="00000000" w:rsidRPr="0018793B" w:rsidP="0018793B">
      <w:pPr>
        <w:pStyle w:val="ListBullet2"/>
      </w:pPr>
      <w:r w:rsidRPr="0018793B">
        <w:t>reconstituted timber products</w:t>
      </w:r>
    </w:p>
    <w:p w:rsidR="00000000" w:rsidRPr="0018793B" w:rsidP="0018793B">
      <w:pPr>
        <w:pStyle w:val="ListBullet2"/>
      </w:pPr>
      <w:r w:rsidRPr="0018793B">
        <w:t>reinforcement materials</w:t>
      </w:r>
    </w:p>
    <w:p w:rsidR="00000000" w:rsidRPr="0018793B" w:rsidP="0018793B">
      <w:pPr>
        <w:pStyle w:val="ListBullet2"/>
      </w:pPr>
      <w:r w:rsidRPr="0018793B">
        <w:t>scaffolding components</w:t>
      </w:r>
    </w:p>
    <w:p w:rsidR="00000000" w:rsidRPr="0018793B" w:rsidP="0018793B">
      <w:pPr>
        <w:pStyle w:val="ListBullet2"/>
      </w:pPr>
      <w:r w:rsidRPr="0018793B">
        <w:t>structural steel sections and components</w:t>
      </w:r>
    </w:p>
    <w:p w:rsidR="00000000" w:rsidRPr="0018793B" w:rsidP="0018793B">
      <w:pPr>
        <w:pStyle w:val="ListBullet2"/>
      </w:pPr>
      <w:r w:rsidRPr="0018793B">
        <w:t>timber</w:t>
      </w:r>
    </w:p>
    <w:p w:rsidR="00000000" w:rsidRPr="0018793B" w:rsidP="0018793B">
      <w:pPr>
        <w:pStyle w:val="ListBullet"/>
      </w:pPr>
      <w:r w:rsidRPr="0018793B">
        <w:t>methods of handling carpentry materials:</w:t>
      </w:r>
    </w:p>
    <w:p w:rsidR="00000000" w:rsidRPr="0018793B" w:rsidP="0018793B">
      <w:pPr>
        <w:pStyle w:val="ListBullet2"/>
      </w:pPr>
      <w:r w:rsidRPr="0018793B">
        <w:t>material size, weight or shape factors necessitating the assistance of other workers</w:t>
      </w:r>
    </w:p>
    <w:p w:rsidR="00000000" w:rsidRPr="0018793B" w:rsidP="0018793B">
      <w:pPr>
        <w:pStyle w:val="ListBullet2"/>
      </w:pPr>
      <w:r w:rsidRPr="0018793B">
        <w:t>cor</w:t>
      </w:r>
      <w:r w:rsidRPr="0018793B">
        <w:t>rect lifting and carrying techniques, use of pallets and control of waste</w:t>
      </w:r>
    </w:p>
    <w:p w:rsidR="00000000" w:rsidRPr="0018793B" w:rsidP="0018793B">
      <w:pPr>
        <w:pStyle w:val="ListBullet2"/>
      </w:pPr>
      <w:r w:rsidRPr="0018793B">
        <w:t>preparation for mechanical handling, including the use of forklifts, pallet jacks and trucks.</w:t>
      </w:r>
    </w:p>
    <w:p w:rsidR="00000000" w:rsidRPr="0018793B" w:rsidP="0018793B">
      <w:pPr>
        <w:pStyle w:val="AllowPageBreak"/>
      </w:pPr>
    </w:p>
    <w:p w:rsidR="00000000" w:rsidRPr="0018793B" w:rsidP="0018793B">
      <w:pPr>
        <w:pStyle w:val="Heading1"/>
      </w:pPr>
      <w:bookmarkStart w:id="4" w:name="O_1295415"/>
      <w:bookmarkEnd w:id="4"/>
      <w:r w:rsidRPr="0018793B">
        <w:t>Assessment Conditions</w:t>
      </w:r>
    </w:p>
    <w:p w:rsidR="00000000" w:rsidRPr="0018793B" w:rsidP="00CB5881">
      <w:pPr>
        <w:pStyle w:val="BodyText"/>
      </w:pPr>
      <w:r w:rsidRPr="0018793B">
        <w:t xml:space="preserve">Assessors must meet the requirements for assessors contained in the Standards for Registered Training Organisations. </w:t>
      </w:r>
    </w:p>
    <w:p w:rsidR="00000000" w:rsidRPr="0018793B" w:rsidP="00CB5881">
      <w:pPr>
        <w:pStyle w:val="BodyText"/>
      </w:pPr>
      <w:r w:rsidRPr="0018793B">
        <w:t>This unit must be assessed in the workplace or a close simulation using realistic workplace conditions and standards, materials, activitie</w:t>
      </w:r>
      <w:r w:rsidRPr="0018793B">
        <w:t>s, responsibilities, procedures, safety requirements and environmental considerations.</w:t>
      </w:r>
    </w:p>
    <w:p w:rsidR="00000000" w:rsidRPr="0018793B" w:rsidP="0018793B">
      <w:pPr>
        <w:pStyle w:val="Heading1"/>
      </w:pPr>
      <w:bookmarkStart w:id="5" w:name="O_1295428"/>
      <w:bookmarkEnd w:id="5"/>
      <w:r w:rsidRPr="0018793B">
        <w:t>Links</w:t>
      </w:r>
    </w:p>
    <w:p w:rsidR="00000000" w:rsidRPr="0018793B" w:rsidP="00CB5881">
      <w:pPr>
        <w:pStyle w:val="BodyText"/>
      </w:pPr>
      <w:r w:rsidRPr="0018793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A012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8793B" w:rsidP="0018793B"/>
    <w:sectPr w:rsidSect="001879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3B" w:rsidRPr="00CB5881" w:rsidP="00CB58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81" w:rsidP="00187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5881" w:rsidP="00187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B5881" w:rsidP="00187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93B" w:rsidRPr="00CB5881" w:rsidP="00CB58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81" w:rsidRPr="002D2AF8" w:rsidP="00187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CPCCCA2011 Handle carpentry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B5881" w:rsidP="00187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EC58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60E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A2EA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93B"/>
  </w:style>
  <w:style w:type="character" w:customStyle="1" w:styleId="Heading1Char">
    <w:name w:val="Heading 1 Char"/>
    <w:basedOn w:val="DefaultParagraphFont"/>
    <w:link w:val="Heading1"/>
    <w:rsid w:val="00187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9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9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79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7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9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9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793B"/>
    <w:rPr>
      <w:b/>
      <w:spacing w:val="0"/>
    </w:rPr>
  </w:style>
  <w:style w:type="paragraph" w:customStyle="1" w:styleId="SuperTitle">
    <w:name w:val="SuperTitle"/>
    <w:basedOn w:val="Title"/>
    <w:rsid w:val="00187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9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93B"/>
    <w:rPr>
      <w:i/>
    </w:rPr>
  </w:style>
  <w:style w:type="paragraph" w:styleId="Caption">
    <w:name w:val="caption"/>
    <w:basedOn w:val="BodyText"/>
    <w:next w:val="Normal"/>
    <w:qFormat/>
    <w:rsid w:val="00187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93B"/>
  </w:style>
  <w:style w:type="paragraph" w:styleId="TableofFigures">
    <w:name w:val="table of figures"/>
    <w:basedOn w:val="Normal"/>
    <w:next w:val="Normal"/>
    <w:semiHidden/>
    <w:rsid w:val="00187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9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793B"/>
    <w:rPr>
      <w:rFonts w:ascii="Wingdings" w:hAnsi="Wingdings"/>
    </w:rPr>
  </w:style>
  <w:style w:type="paragraph" w:customStyle="1" w:styleId="TableHeading">
    <w:name w:val="Table Heading"/>
    <w:basedOn w:val="HeadingBase"/>
    <w:rsid w:val="00187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93B"/>
    <w:rPr>
      <w:color w:val="0033CC"/>
      <w:u w:val="none"/>
    </w:rPr>
  </w:style>
  <w:style w:type="paragraph" w:customStyle="1" w:styleId="BodyTextRight">
    <w:name w:val="Body Text Right"/>
    <w:basedOn w:val="BodyText"/>
    <w:rsid w:val="00187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9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93B"/>
    <w:rPr>
      <w:sz w:val="32"/>
    </w:rPr>
  </w:style>
  <w:style w:type="paragraph" w:customStyle="1" w:styleId="HeadingProcedure">
    <w:name w:val="Heading Procedure"/>
    <w:basedOn w:val="HeadingBase"/>
    <w:next w:val="Normal"/>
    <w:rsid w:val="00187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93B"/>
    <w:pPr>
      <w:spacing w:before="60" w:after="60"/>
    </w:pPr>
  </w:style>
  <w:style w:type="paragraph" w:styleId="ListContinue">
    <w:name w:val="List Continue"/>
    <w:basedOn w:val="List"/>
    <w:rsid w:val="0018793B"/>
    <w:pPr>
      <w:ind w:firstLine="0"/>
    </w:pPr>
  </w:style>
  <w:style w:type="paragraph" w:customStyle="1" w:styleId="ListNote">
    <w:name w:val="List Note"/>
    <w:basedOn w:val="List"/>
    <w:rsid w:val="00187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93B"/>
    <w:rPr>
      <w:rFonts w:ascii="Courier New" w:hAnsi="Courier New"/>
    </w:rPr>
  </w:style>
  <w:style w:type="paragraph" w:customStyle="1" w:styleId="NoteBullet">
    <w:name w:val="Note Bullet"/>
    <w:basedOn w:val="Note"/>
    <w:rsid w:val="00187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9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7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93B"/>
    <w:rPr>
      <w:b/>
      <w:smallCaps/>
    </w:rPr>
  </w:style>
  <w:style w:type="paragraph" w:customStyle="1" w:styleId="TableListNumber">
    <w:name w:val="Table List Number"/>
    <w:basedOn w:val="ListNumber"/>
    <w:rsid w:val="00187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93B"/>
    <w:pPr>
      <w:numPr>
        <w:numId w:val="9"/>
      </w:numPr>
    </w:pPr>
  </w:style>
  <w:style w:type="paragraph" w:customStyle="1" w:styleId="ListAlpha2">
    <w:name w:val="List Alpha 2"/>
    <w:basedOn w:val="List2"/>
    <w:rsid w:val="0018793B"/>
    <w:pPr>
      <w:numPr>
        <w:numId w:val="8"/>
      </w:numPr>
    </w:pPr>
  </w:style>
  <w:style w:type="paragraph" w:styleId="List2">
    <w:name w:val="List 2"/>
    <w:basedOn w:val="BodyText"/>
    <w:rsid w:val="00187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9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9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93B"/>
    <w:pPr>
      <w:numPr>
        <w:numId w:val="4"/>
      </w:numPr>
    </w:pPr>
  </w:style>
  <w:style w:type="paragraph" w:styleId="ListContinue2">
    <w:name w:val="List Continue 2"/>
    <w:basedOn w:val="List2"/>
    <w:rsid w:val="0018793B"/>
    <w:pPr>
      <w:ind w:firstLine="0"/>
    </w:pPr>
  </w:style>
  <w:style w:type="paragraph" w:styleId="ListContinue3">
    <w:name w:val="List Continue 3"/>
    <w:basedOn w:val="List3"/>
    <w:rsid w:val="0018793B"/>
    <w:pPr>
      <w:ind w:left="1021" w:firstLine="0"/>
    </w:pPr>
  </w:style>
  <w:style w:type="paragraph" w:styleId="ListContinue4">
    <w:name w:val="List Continue 4"/>
    <w:basedOn w:val="List4"/>
    <w:rsid w:val="0018793B"/>
    <w:pPr>
      <w:ind w:firstLine="0"/>
    </w:pPr>
  </w:style>
  <w:style w:type="paragraph" w:styleId="ListContinue5">
    <w:name w:val="List Continue 5"/>
    <w:basedOn w:val="List5"/>
    <w:rsid w:val="0018793B"/>
    <w:pPr>
      <w:ind w:firstLine="0"/>
    </w:pPr>
  </w:style>
  <w:style w:type="paragraph" w:styleId="ListNumber3">
    <w:name w:val="List Number 3"/>
    <w:basedOn w:val="List3"/>
    <w:rsid w:val="0018793B"/>
    <w:pPr>
      <w:numPr>
        <w:numId w:val="5"/>
      </w:numPr>
    </w:pPr>
  </w:style>
  <w:style w:type="paragraph" w:styleId="ListNumber4">
    <w:name w:val="List Number 4"/>
    <w:basedOn w:val="List4"/>
    <w:rsid w:val="0018793B"/>
    <w:pPr>
      <w:numPr>
        <w:numId w:val="6"/>
      </w:numPr>
    </w:pPr>
  </w:style>
  <w:style w:type="paragraph" w:styleId="ListNumber5">
    <w:name w:val="List Number 5"/>
    <w:basedOn w:val="List5"/>
    <w:rsid w:val="0018793B"/>
    <w:pPr>
      <w:numPr>
        <w:numId w:val="7"/>
      </w:numPr>
    </w:pPr>
  </w:style>
  <w:style w:type="paragraph" w:styleId="BlockText">
    <w:name w:val="Block Text"/>
    <w:basedOn w:val="Normal"/>
    <w:rsid w:val="00187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93B"/>
    <w:rPr>
      <w:sz w:val="16"/>
      <w:vertAlign w:val="superscript"/>
    </w:rPr>
  </w:style>
  <w:style w:type="character" w:customStyle="1" w:styleId="Symbols">
    <w:name w:val="Symbols"/>
    <w:basedOn w:val="DefaultParagraphFont"/>
    <w:rsid w:val="0018793B"/>
    <w:rPr>
      <w:rFonts w:ascii="Symbol" w:hAnsi="Symbol"/>
    </w:rPr>
  </w:style>
  <w:style w:type="character" w:customStyle="1" w:styleId="MenuOptions">
    <w:name w:val="Menu Options"/>
    <w:basedOn w:val="DefaultParagraphFont"/>
    <w:rsid w:val="00187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93B"/>
    <w:rPr>
      <w:b/>
    </w:rPr>
  </w:style>
  <w:style w:type="character" w:customStyle="1" w:styleId="Underlined">
    <w:name w:val="Underlined"/>
    <w:basedOn w:val="DefaultParagraphFont"/>
    <w:rsid w:val="0018793B"/>
    <w:rPr>
      <w:u w:val="single"/>
    </w:rPr>
  </w:style>
  <w:style w:type="paragraph" w:customStyle="1" w:styleId="TableBodyTextRight">
    <w:name w:val="Table Body Text Right"/>
    <w:basedOn w:val="TableBodyText"/>
    <w:rsid w:val="00187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93B"/>
    <w:rPr>
      <w:sz w:val="18"/>
    </w:rPr>
  </w:style>
  <w:style w:type="paragraph" w:customStyle="1" w:styleId="BodySmallRight">
    <w:name w:val="Body Small Right"/>
    <w:basedOn w:val="BodyTextRight"/>
    <w:rsid w:val="0018793B"/>
    <w:rPr>
      <w:sz w:val="18"/>
      <w:szCs w:val="18"/>
    </w:rPr>
  </w:style>
  <w:style w:type="paragraph" w:customStyle="1" w:styleId="MarginEdition">
    <w:name w:val="Margin Edition"/>
    <w:basedOn w:val="MarginNote"/>
    <w:rsid w:val="00187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93B"/>
    <w:rPr>
      <w:sz w:val="2"/>
      <w:szCs w:val="2"/>
    </w:rPr>
  </w:style>
  <w:style w:type="character" w:customStyle="1" w:styleId="Small">
    <w:name w:val="Small"/>
    <w:basedOn w:val="DefaultParagraphFont"/>
    <w:rsid w:val="0018793B"/>
    <w:rPr>
      <w:sz w:val="16"/>
    </w:rPr>
  </w:style>
  <w:style w:type="paragraph" w:customStyle="1" w:styleId="WideTable">
    <w:name w:val="Wide Table"/>
    <w:basedOn w:val="Normal"/>
    <w:rsid w:val="00187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93B"/>
  </w:style>
  <w:style w:type="paragraph" w:styleId="Quote">
    <w:name w:val="Quote"/>
    <w:basedOn w:val="Heading1"/>
    <w:link w:val="QuoteChar"/>
    <w:qFormat/>
    <w:rsid w:val="00187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93B"/>
    <w:pPr>
      <w:pageBreakBefore/>
    </w:pPr>
  </w:style>
  <w:style w:type="paragraph" w:customStyle="1" w:styleId="Border">
    <w:name w:val="Border"/>
    <w:basedOn w:val="Normal"/>
    <w:qFormat/>
    <w:rsid w:val="00187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93B"/>
    <w:rPr>
      <w:u w:val="single"/>
    </w:rPr>
  </w:style>
  <w:style w:type="character" w:customStyle="1" w:styleId="BoldandItalics">
    <w:name w:val="Bold and Italics"/>
    <w:qFormat/>
    <w:rsid w:val="0018793B"/>
    <w:rPr>
      <w:b/>
      <w:i/>
      <w:u w:val="none"/>
    </w:rPr>
  </w:style>
  <w:style w:type="paragraph" w:styleId="BalloonText">
    <w:name w:val="Balloon Text"/>
    <w:basedOn w:val="Normal"/>
    <w:link w:val="BalloonTextChar"/>
    <w:rsid w:val="00187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93B"/>
    <w:pPr>
      <w:spacing w:before="0" w:after="0"/>
    </w:pPr>
  </w:style>
  <w:style w:type="paragraph" w:customStyle="1" w:styleId="BodyTextBold">
    <w:name w:val="Body Text Bold"/>
    <w:basedOn w:val="BodyText"/>
    <w:qFormat/>
    <w:rsid w:val="0018793B"/>
    <w:rPr>
      <w:b/>
    </w:rPr>
  </w:style>
  <w:style w:type="character" w:styleId="Hyperlink">
    <w:name w:val="Hyperlink"/>
    <w:basedOn w:val="DefaultParagraphFont"/>
    <w:uiPriority w:val="99"/>
    <w:unhideWhenUsed/>
    <w:rsid w:val="00CB58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2706</Characters>
  <Application>Microsoft Office Word</Application>
  <DocSecurity>0</DocSecurity>
  <Lines>75</Lines>
  <Paragraphs>60</Paragraphs>
  <ScaleCrop>false</ScaleCrop>
  <Company>Author-it Software Corporation Ltd.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CPCCCA2011 Handle carpentry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