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466" w:rsidP="00E614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CPCCBS6118 Assess and advise on performance solutions for Class 1 and 10 buildings to three storeys</w:t>
      </w:r>
      <w:r>
        <w:fldChar w:fldCharType="end"/>
      </w:r>
    </w:p>
    <w:p w:rsidR="00E61466" w:rsidP="00E61466">
      <w:pPr>
        <w:pStyle w:val="Version"/>
        <w:sectPr w:rsidSect="00397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994" w:rsidP="00397994">
      <w:pPr>
        <w:pStyle w:val="SuperHeading"/>
      </w:pPr>
      <w:r w:rsidRPr="00397994">
        <w:t>Assessment Requirements for CPCCBS6118 Assess and advise on performance solutions for Class 1 and 10 buildings to three storeys</w:t>
      </w:r>
    </w:p>
    <w:p w:rsidR="00000000" w:rsidRPr="00397994" w:rsidP="00397994">
      <w:pPr>
        <w:pStyle w:val="Heading1"/>
      </w:pPr>
      <w:bookmarkStart w:id="1" w:name="O_1144168"/>
      <w:bookmarkEnd w:id="1"/>
      <w:r w:rsidRPr="003979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397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994">
            <w:pPr>
              <w:pStyle w:val="BodyText"/>
              <w:rPr>
                <w:lang w:val="en-NZ"/>
              </w:rPr>
            </w:pPr>
            <w:r w:rsidRPr="00397994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994" w:rsidP="00397994">
            <w:pPr>
              <w:pStyle w:val="BodyText"/>
            </w:pPr>
            <w:r w:rsidRPr="00397994">
              <w:t>This version first released with CPC Construction, Plumbing and Services Training Package Release 6.0.</w:t>
            </w:r>
          </w:p>
          <w:p w:rsidR="00000000" w:rsidRPr="00397994" w:rsidP="00397994">
            <w:pPr>
              <w:pStyle w:val="BodyText"/>
            </w:pPr>
            <w:r w:rsidRPr="00397994">
              <w:t>New unit.</w:t>
            </w:r>
          </w:p>
        </w:tc>
      </w:tr>
    </w:tbl>
    <w:p w:rsidR="00000000" w:rsidRPr="00397994" w:rsidP="00397994">
      <w:pPr>
        <w:pStyle w:val="BodyText"/>
      </w:pPr>
    </w:p>
    <w:p w:rsidR="00000000" w:rsidRPr="00397994" w:rsidP="00397994">
      <w:pPr>
        <w:pStyle w:val="AllowPageBreak"/>
      </w:pPr>
    </w:p>
    <w:p w:rsidR="00000000" w:rsidRPr="00397994" w:rsidP="00397994">
      <w:pPr>
        <w:pStyle w:val="Heading1"/>
      </w:pPr>
      <w:bookmarkStart w:id="2" w:name="O_1144171"/>
      <w:bookmarkEnd w:id="2"/>
      <w:r w:rsidRPr="00397994">
        <w:t>Performance Evidence</w:t>
      </w:r>
    </w:p>
    <w:p w:rsidR="00000000" w:rsidRPr="00397994" w:rsidP="00E61466">
      <w:pPr>
        <w:pStyle w:val="BodyText"/>
      </w:pPr>
      <w:r w:rsidRPr="00397994">
        <w:t>To demonstrate competency, a candidate must meet the elements and performance criteria of this unit b</w:t>
      </w:r>
      <w:r w:rsidRPr="00397994">
        <w:t>y assessing, advising on and certifying as compliant a total of three performance solutions involving the following Classes of buildings as defined by the National Construction Code (NCC):</w:t>
      </w:r>
    </w:p>
    <w:p w:rsidR="00000000" w:rsidRPr="00397994" w:rsidP="00397994">
      <w:pPr>
        <w:pStyle w:val="ListBullet"/>
      </w:pPr>
      <w:r w:rsidRPr="00397994">
        <w:t>two Class 1 buildings</w:t>
      </w:r>
    </w:p>
    <w:p w:rsidR="00000000" w:rsidRPr="00397994" w:rsidP="00397994">
      <w:pPr>
        <w:pStyle w:val="ListBullet"/>
      </w:pPr>
      <w:r w:rsidRPr="00397994">
        <w:t>one Class 10 building excluding sheds and sw</w:t>
      </w:r>
      <w:r w:rsidRPr="00397994">
        <w:t>imming pools.</w:t>
      </w:r>
    </w:p>
    <w:p w:rsidR="00000000" w:rsidRPr="00397994" w:rsidP="00E61466">
      <w:pPr>
        <w:pStyle w:val="BodyText"/>
      </w:pPr>
      <w:r w:rsidRPr="00397994">
        <w:t>Each building must be up to three storeys and not exceeding 2,000 square metres in floor area, and in a different geographical location as defined by the NCC.</w:t>
      </w:r>
    </w:p>
    <w:p w:rsidR="00000000" w:rsidRPr="00397994" w:rsidP="00E61466">
      <w:pPr>
        <w:pStyle w:val="BodyText"/>
      </w:pPr>
      <w:r w:rsidRPr="00397994">
        <w:t>Of the three performance solutions:</w:t>
      </w:r>
    </w:p>
    <w:p w:rsidR="00000000" w:rsidRPr="00397994" w:rsidP="00397994">
      <w:pPr>
        <w:pStyle w:val="ListBullet"/>
      </w:pPr>
      <w:r w:rsidRPr="00397994">
        <w:t xml:space="preserve">one must </w:t>
      </w:r>
      <w:r w:rsidRPr="00397994">
        <w:t>be a performance solution for fire safety</w:t>
      </w:r>
    </w:p>
    <w:p w:rsidR="00000000" w:rsidRPr="00397994" w:rsidP="00397994">
      <w:pPr>
        <w:pStyle w:val="ListBullet"/>
      </w:pPr>
      <w:r w:rsidRPr="00397994">
        <w:t>two must be performance solutions for structural safety, health, amenity and sustainability.</w:t>
      </w:r>
    </w:p>
    <w:p w:rsidR="00000000" w:rsidRPr="00397994" w:rsidP="00397994">
      <w:pPr>
        <w:pStyle w:val="AllowPageBreak"/>
      </w:pPr>
    </w:p>
    <w:p w:rsidR="00000000" w:rsidRPr="00397994" w:rsidP="00397994">
      <w:pPr>
        <w:pStyle w:val="Heading1"/>
      </w:pPr>
      <w:bookmarkStart w:id="3" w:name="O_1144170"/>
      <w:bookmarkEnd w:id="3"/>
      <w:r w:rsidRPr="00397994">
        <w:t>Knowledge Evidence</w:t>
      </w:r>
    </w:p>
    <w:p w:rsidR="00000000" w:rsidRPr="00397994" w:rsidP="00E61466">
      <w:pPr>
        <w:pStyle w:val="BodyText"/>
      </w:pPr>
      <w:r w:rsidRPr="00397994">
        <w:t>To be competent in this unit, a candidate must demonstrate knowledge of:</w:t>
      </w:r>
    </w:p>
    <w:p w:rsidR="00000000" w:rsidRPr="00397994" w:rsidP="00397994">
      <w:pPr>
        <w:pStyle w:val="ListBullet"/>
      </w:pPr>
      <w:r w:rsidRPr="00397994">
        <w:t>design pr</w:t>
      </w:r>
      <w:r w:rsidRPr="00397994">
        <w:t>inciples that are applied when analysing the compliance of performance solutions for structural safety, health, amenity and sustainability:</w:t>
      </w:r>
    </w:p>
    <w:p w:rsidR="00000000" w:rsidRPr="00397994" w:rsidP="00397994">
      <w:pPr>
        <w:pStyle w:val="ListBullet2"/>
      </w:pPr>
      <w:r w:rsidRPr="00397994">
        <w:t>access and egress, including access for people with a disability</w:t>
      </w:r>
    </w:p>
    <w:p w:rsidR="00000000" w:rsidRPr="00397994" w:rsidP="00397994">
      <w:pPr>
        <w:pStyle w:val="ListBullet2"/>
      </w:pPr>
      <w:r w:rsidRPr="00397994">
        <w:t>damp and weatherproofing</w:t>
      </w:r>
    </w:p>
    <w:p w:rsidR="00000000" w:rsidRPr="00397994" w:rsidP="00397994">
      <w:pPr>
        <w:pStyle w:val="ListBullet2"/>
      </w:pPr>
      <w:r w:rsidRPr="00397994">
        <w:t>energy efficiency</w:t>
      </w:r>
    </w:p>
    <w:p w:rsidR="00000000" w:rsidRPr="00397994" w:rsidP="00397994">
      <w:pPr>
        <w:pStyle w:val="ListBullet2"/>
      </w:pPr>
      <w:r w:rsidRPr="00397994">
        <w:t>light a</w:t>
      </w:r>
      <w:r w:rsidRPr="00397994">
        <w:t>nd ventilation</w:t>
      </w:r>
    </w:p>
    <w:p w:rsidR="00000000" w:rsidRPr="00397994" w:rsidP="00397994">
      <w:pPr>
        <w:pStyle w:val="ListBullet2"/>
      </w:pPr>
      <w:r w:rsidRPr="00397994">
        <w:t>room heights</w:t>
      </w:r>
    </w:p>
    <w:p w:rsidR="00000000" w:rsidRPr="00397994" w:rsidP="00397994">
      <w:pPr>
        <w:pStyle w:val="ListBullet2"/>
      </w:pPr>
      <w:r w:rsidRPr="00397994">
        <w:t>sanitary and other facilities</w:t>
      </w:r>
    </w:p>
    <w:p w:rsidR="00000000" w:rsidRPr="00397994" w:rsidP="00397994">
      <w:pPr>
        <w:pStyle w:val="ListBullet2"/>
      </w:pPr>
      <w:r w:rsidRPr="00397994">
        <w:t>services and equipment</w:t>
      </w:r>
    </w:p>
    <w:p w:rsidR="00000000" w:rsidRPr="00397994" w:rsidP="00397994">
      <w:pPr>
        <w:pStyle w:val="ListBullet2"/>
      </w:pPr>
      <w:r w:rsidRPr="00397994">
        <w:t>sound transmission and insulation</w:t>
      </w:r>
    </w:p>
    <w:p w:rsidR="00000000" w:rsidRPr="00397994" w:rsidP="00397994">
      <w:pPr>
        <w:pStyle w:val="ListBullet2"/>
      </w:pPr>
      <w:r w:rsidRPr="00397994">
        <w:t>structural safety</w:t>
      </w:r>
    </w:p>
    <w:p w:rsidR="00000000" w:rsidRPr="00397994" w:rsidP="00397994">
      <w:pPr>
        <w:pStyle w:val="ListBullet"/>
      </w:pPr>
      <w:r w:rsidRPr="00397994">
        <w:t>NCC classifications and definitions for Class 1 and 10 buildings:</w:t>
      </w:r>
    </w:p>
    <w:p w:rsidR="00000000" w:rsidRPr="00397994" w:rsidP="00397994">
      <w:pPr>
        <w:pStyle w:val="ListBullet2"/>
      </w:pPr>
      <w:r w:rsidRPr="00397994">
        <w:t>building types</w:t>
      </w:r>
    </w:p>
    <w:p w:rsidR="00000000" w:rsidRPr="00397994" w:rsidP="00397994">
      <w:pPr>
        <w:pStyle w:val="ListBullet2"/>
      </w:pPr>
      <w:r w:rsidRPr="00397994">
        <w:t>geographic and climate zones</w:t>
      </w:r>
    </w:p>
    <w:p w:rsidR="00000000" w:rsidRPr="00397994" w:rsidP="00397994">
      <w:pPr>
        <w:pStyle w:val="ListBullet"/>
      </w:pPr>
      <w:r w:rsidRPr="00397994">
        <w:t>NCC requirements for assessing performance solutions relevant to Class 1 and 10 buildings</w:t>
      </w:r>
    </w:p>
    <w:p w:rsidR="00000000" w:rsidRPr="00397994" w:rsidP="00397994">
      <w:pPr>
        <w:pStyle w:val="ListBullet"/>
      </w:pPr>
      <w:r w:rsidRPr="00397994">
        <w:t>principles of fire safety engineering relevant to Class 1 and 10 buildings:</w:t>
      </w:r>
    </w:p>
    <w:p w:rsidR="00000000" w:rsidRPr="00397994" w:rsidP="00397994">
      <w:pPr>
        <w:pStyle w:val="ListBullet2"/>
      </w:pPr>
      <w:r w:rsidRPr="00397994">
        <w:t>fire retardants for buildings in bushfire prone areas</w:t>
      </w:r>
    </w:p>
    <w:p w:rsidR="00000000" w:rsidRPr="00397994" w:rsidP="00397994">
      <w:pPr>
        <w:pStyle w:val="ListBullet2"/>
      </w:pPr>
      <w:r w:rsidRPr="00397994">
        <w:t xml:space="preserve">purpose and scope of AS 3959 </w:t>
      </w:r>
      <w:r w:rsidRPr="00397994">
        <w:rPr>
          <w:rStyle w:val="Emphasis"/>
        </w:rPr>
        <w:t>Constr</w:t>
      </w:r>
      <w:r w:rsidRPr="00397994">
        <w:rPr>
          <w:rStyle w:val="Emphasis"/>
        </w:rPr>
        <w:t>uction of buildings in bushfire-prone areas</w:t>
      </w:r>
    </w:p>
    <w:p w:rsidR="00000000" w:rsidRPr="00397994" w:rsidP="00397994">
      <w:pPr>
        <w:pStyle w:val="ListBullet"/>
      </w:pPr>
      <w:r w:rsidRPr="00397994">
        <w:t>project management strategies that ensure thorough and timely advice is delivered according to service level agreement</w:t>
      </w:r>
    </w:p>
    <w:p w:rsidR="00000000" w:rsidRPr="00397994" w:rsidP="00397994">
      <w:pPr>
        <w:pStyle w:val="ListBullet"/>
      </w:pPr>
      <w:r w:rsidRPr="00397994">
        <w:t>regulatory intent of performance solutions</w:t>
      </w:r>
    </w:p>
    <w:p w:rsidR="00000000" w:rsidRPr="00397994" w:rsidP="00397994">
      <w:pPr>
        <w:pStyle w:val="ListBullet"/>
      </w:pPr>
      <w:r w:rsidRPr="00397994">
        <w:t>scope and limitations of building surveyor role in relation to advising on or certifying performance solutions</w:t>
      </w:r>
    </w:p>
    <w:p w:rsidR="00000000" w:rsidRPr="00397994" w:rsidP="00397994">
      <w:pPr>
        <w:pStyle w:val="ListBullet"/>
      </w:pPr>
      <w:r w:rsidRPr="00397994">
        <w:t>workplace requirements for assessing and advising on performance solutions for Class 1 and 10 buildings:</w:t>
      </w:r>
    </w:p>
    <w:p w:rsidR="00000000" w:rsidRPr="00397994" w:rsidP="00397994">
      <w:pPr>
        <w:pStyle w:val="ListBullet2"/>
      </w:pPr>
      <w:r w:rsidRPr="00397994">
        <w:t>client service</w:t>
      </w:r>
    </w:p>
    <w:p w:rsidR="00000000" w:rsidRPr="00397994" w:rsidP="00397994">
      <w:pPr>
        <w:pStyle w:val="ListBullet2"/>
      </w:pPr>
      <w:r w:rsidRPr="00397994">
        <w:t>documentation and report</w:t>
      </w:r>
      <w:r w:rsidRPr="00397994">
        <w:t>ing.</w:t>
      </w:r>
    </w:p>
    <w:p w:rsidR="00000000" w:rsidRPr="00397994" w:rsidP="00397994">
      <w:pPr>
        <w:pStyle w:val="AllowPageBreak"/>
      </w:pPr>
    </w:p>
    <w:p w:rsidR="00000000" w:rsidRPr="00397994" w:rsidP="00397994">
      <w:pPr>
        <w:pStyle w:val="Heading1"/>
      </w:pPr>
      <w:bookmarkStart w:id="4" w:name="O_1144169"/>
      <w:bookmarkEnd w:id="4"/>
      <w:r w:rsidRPr="00397994">
        <w:t>Assessment Conditions</w:t>
      </w:r>
    </w:p>
    <w:p w:rsidR="00000000" w:rsidRPr="00397994" w:rsidP="00E61466">
      <w:pPr>
        <w:pStyle w:val="BodyText"/>
      </w:pPr>
      <w:r w:rsidRPr="00397994">
        <w:t xml:space="preserve">Assessors must meet the requirements for assessors contained in the Standards for Registered Training Organisations. </w:t>
      </w:r>
    </w:p>
    <w:p w:rsidR="00000000" w:rsidRPr="00397994" w:rsidP="00E61466">
      <w:pPr>
        <w:pStyle w:val="BodyText"/>
      </w:pPr>
      <w:r w:rsidRPr="00397994">
        <w:t>Assessors must also:</w:t>
      </w:r>
    </w:p>
    <w:p w:rsidR="00000000" w:rsidRPr="00397994" w:rsidP="00397994">
      <w:pPr>
        <w:pStyle w:val="ListBullet"/>
      </w:pPr>
      <w:r w:rsidRPr="00397994">
        <w:t xml:space="preserve">be licensed as a Building Surveyor Level 1 (or equivalent) or Level 2 </w:t>
      </w:r>
      <w:r w:rsidRPr="00397994">
        <w:t>(or equivalent) in their state or territory, or</w:t>
      </w:r>
    </w:p>
    <w:p w:rsidR="00000000" w:rsidRPr="00397994" w:rsidP="00397994">
      <w:pPr>
        <w:pStyle w:val="ListBullet"/>
      </w:pPr>
      <w:r w:rsidRPr="00397994">
        <w:t>demonstrate current membership of a relevant industry association and have current registration on the National Building Professionals Register in the Building Industry Control category (level 1), or</w:t>
      </w:r>
    </w:p>
    <w:p w:rsidR="00000000" w:rsidRPr="00397994" w:rsidP="00397994">
      <w:pPr>
        <w:pStyle w:val="ListBullet"/>
      </w:pPr>
      <w:r w:rsidRPr="00397994">
        <w:t>be accre</w:t>
      </w:r>
      <w:r w:rsidRPr="00397994">
        <w:t>dited under the Australian Institute of Building Surveyors (AIBS) National Accreditation Scheme at Building Surveyor level or be accredited by the Royal Institute of Chartered Surveyors as a building certifier.</w:t>
      </w:r>
    </w:p>
    <w:p w:rsidR="00000000" w:rsidRPr="00397994" w:rsidP="00E61466">
      <w:pPr>
        <w:pStyle w:val="BodyText"/>
      </w:pPr>
      <w:r w:rsidRPr="00397994">
        <w:t>Assessment must be conducted in the workplace</w:t>
      </w:r>
      <w:r w:rsidRPr="00397994">
        <w:t xml:space="preserve"> or a simulated workplace using realistic conditions, materials, activities, responsibilities, procedures, safety requirements and environmental considerations.</w:t>
      </w:r>
    </w:p>
    <w:p w:rsidR="00000000" w:rsidRPr="00397994" w:rsidP="00E61466">
      <w:pPr>
        <w:pStyle w:val="BodyText"/>
      </w:pPr>
      <w:r w:rsidRPr="00397994">
        <w:t>Candidates must have access to equipment, software, drawings, documentation and materials required to achieve the performance evidence.</w:t>
      </w:r>
    </w:p>
    <w:p w:rsidR="00000000" w:rsidRPr="00397994" w:rsidP="00397994">
      <w:pPr>
        <w:pStyle w:val="Heading1"/>
      </w:pPr>
      <w:bookmarkStart w:id="5" w:name="O_1144167"/>
      <w:bookmarkEnd w:id="5"/>
      <w:r w:rsidRPr="00397994">
        <w:t>Links</w:t>
      </w:r>
    </w:p>
    <w:p w:rsidR="00000000" w:rsidRPr="00397994" w:rsidP="00E61466">
      <w:pPr>
        <w:pStyle w:val="BodyText"/>
      </w:pPr>
      <w:r w:rsidRPr="0039799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3795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7994" w:rsidP="00397994"/>
    <w:sectPr w:rsidSect="003979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94" w:rsidRPr="00E61466" w:rsidP="00E614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66" w:rsidP="00397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466" w:rsidP="00397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61466" w:rsidP="00397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994" w:rsidRPr="00E61466" w:rsidP="00E614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66" w:rsidRPr="002D2AF8" w:rsidP="00397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CPCCBS6118 Assess and advise on performance solutions for Class 1 and 10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61466" w:rsidP="00397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DED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1C0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DCE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994"/>
  </w:style>
  <w:style w:type="character" w:customStyle="1" w:styleId="Heading1Char">
    <w:name w:val="Heading 1 Char"/>
    <w:basedOn w:val="DefaultParagraphFont"/>
    <w:link w:val="Heading1"/>
    <w:rsid w:val="00397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9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79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7994"/>
    <w:rPr>
      <w:i/>
    </w:rPr>
  </w:style>
  <w:style w:type="paragraph" w:customStyle="1" w:styleId="SuperHeading">
    <w:name w:val="SuperHeading"/>
    <w:basedOn w:val="Normal"/>
    <w:rsid w:val="00397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7994"/>
    <w:rPr>
      <w:b/>
      <w:spacing w:val="0"/>
    </w:rPr>
  </w:style>
  <w:style w:type="paragraph" w:customStyle="1" w:styleId="SuperTitle">
    <w:name w:val="SuperTitle"/>
    <w:basedOn w:val="Title"/>
    <w:rsid w:val="00397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7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9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7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994"/>
  </w:style>
  <w:style w:type="paragraph" w:styleId="TableofFigures">
    <w:name w:val="table of figures"/>
    <w:basedOn w:val="Normal"/>
    <w:next w:val="Normal"/>
    <w:semiHidden/>
    <w:rsid w:val="00397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9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7994"/>
    <w:rPr>
      <w:rFonts w:ascii="Wingdings" w:hAnsi="Wingdings"/>
    </w:rPr>
  </w:style>
  <w:style w:type="paragraph" w:customStyle="1" w:styleId="TableHeading">
    <w:name w:val="Table Heading"/>
    <w:basedOn w:val="HeadingBase"/>
    <w:rsid w:val="00397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994"/>
    <w:rPr>
      <w:color w:val="0033CC"/>
      <w:u w:val="none"/>
    </w:rPr>
  </w:style>
  <w:style w:type="paragraph" w:customStyle="1" w:styleId="BodyTextRight">
    <w:name w:val="Body Text Right"/>
    <w:basedOn w:val="BodyText"/>
    <w:rsid w:val="00397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9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994"/>
    <w:rPr>
      <w:sz w:val="32"/>
    </w:rPr>
  </w:style>
  <w:style w:type="paragraph" w:customStyle="1" w:styleId="HeadingProcedure">
    <w:name w:val="Heading Procedure"/>
    <w:basedOn w:val="HeadingBase"/>
    <w:next w:val="Normal"/>
    <w:rsid w:val="00397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994"/>
    <w:pPr>
      <w:spacing w:before="60" w:after="60"/>
    </w:pPr>
  </w:style>
  <w:style w:type="paragraph" w:styleId="ListContinue">
    <w:name w:val="List Continue"/>
    <w:basedOn w:val="List"/>
    <w:rsid w:val="00397994"/>
    <w:pPr>
      <w:ind w:firstLine="0"/>
    </w:pPr>
  </w:style>
  <w:style w:type="paragraph" w:customStyle="1" w:styleId="ListNote">
    <w:name w:val="List Note"/>
    <w:basedOn w:val="List"/>
    <w:rsid w:val="00397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994"/>
    <w:rPr>
      <w:rFonts w:ascii="Courier New" w:hAnsi="Courier New"/>
    </w:rPr>
  </w:style>
  <w:style w:type="paragraph" w:customStyle="1" w:styleId="NoteBullet">
    <w:name w:val="Note Bullet"/>
    <w:basedOn w:val="Note"/>
    <w:rsid w:val="00397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9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7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994"/>
    <w:rPr>
      <w:b/>
      <w:smallCaps/>
    </w:rPr>
  </w:style>
  <w:style w:type="paragraph" w:customStyle="1" w:styleId="TableListNumber">
    <w:name w:val="Table List Number"/>
    <w:basedOn w:val="ListNumber"/>
    <w:rsid w:val="00397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994"/>
    <w:pPr>
      <w:numPr>
        <w:numId w:val="9"/>
      </w:numPr>
    </w:pPr>
  </w:style>
  <w:style w:type="paragraph" w:customStyle="1" w:styleId="ListAlpha2">
    <w:name w:val="List Alpha 2"/>
    <w:basedOn w:val="List2"/>
    <w:rsid w:val="00397994"/>
    <w:pPr>
      <w:numPr>
        <w:numId w:val="8"/>
      </w:numPr>
    </w:pPr>
  </w:style>
  <w:style w:type="paragraph" w:styleId="List2">
    <w:name w:val="List 2"/>
    <w:basedOn w:val="BodyText"/>
    <w:rsid w:val="00397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9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9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7994"/>
    <w:pPr>
      <w:numPr>
        <w:numId w:val="4"/>
      </w:numPr>
    </w:pPr>
  </w:style>
  <w:style w:type="paragraph" w:styleId="ListContinue2">
    <w:name w:val="List Continue 2"/>
    <w:basedOn w:val="List2"/>
    <w:rsid w:val="00397994"/>
    <w:pPr>
      <w:ind w:firstLine="0"/>
    </w:pPr>
  </w:style>
  <w:style w:type="paragraph" w:styleId="ListContinue3">
    <w:name w:val="List Continue 3"/>
    <w:basedOn w:val="List3"/>
    <w:rsid w:val="00397994"/>
    <w:pPr>
      <w:ind w:left="1021" w:firstLine="0"/>
    </w:pPr>
  </w:style>
  <w:style w:type="paragraph" w:styleId="ListContinue4">
    <w:name w:val="List Continue 4"/>
    <w:basedOn w:val="List4"/>
    <w:rsid w:val="00397994"/>
    <w:pPr>
      <w:ind w:firstLine="0"/>
    </w:pPr>
  </w:style>
  <w:style w:type="paragraph" w:styleId="ListContinue5">
    <w:name w:val="List Continue 5"/>
    <w:basedOn w:val="List5"/>
    <w:rsid w:val="00397994"/>
    <w:pPr>
      <w:ind w:firstLine="0"/>
    </w:pPr>
  </w:style>
  <w:style w:type="paragraph" w:styleId="ListNumber3">
    <w:name w:val="List Number 3"/>
    <w:basedOn w:val="List3"/>
    <w:rsid w:val="00397994"/>
    <w:pPr>
      <w:numPr>
        <w:numId w:val="5"/>
      </w:numPr>
    </w:pPr>
  </w:style>
  <w:style w:type="paragraph" w:styleId="ListNumber4">
    <w:name w:val="List Number 4"/>
    <w:basedOn w:val="List4"/>
    <w:rsid w:val="00397994"/>
    <w:pPr>
      <w:numPr>
        <w:numId w:val="6"/>
      </w:numPr>
    </w:pPr>
  </w:style>
  <w:style w:type="paragraph" w:styleId="ListNumber5">
    <w:name w:val="List Number 5"/>
    <w:basedOn w:val="List5"/>
    <w:rsid w:val="00397994"/>
    <w:pPr>
      <w:numPr>
        <w:numId w:val="7"/>
      </w:numPr>
    </w:pPr>
  </w:style>
  <w:style w:type="paragraph" w:styleId="BlockText">
    <w:name w:val="Block Text"/>
    <w:basedOn w:val="Normal"/>
    <w:rsid w:val="00397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994"/>
    <w:rPr>
      <w:sz w:val="16"/>
      <w:vertAlign w:val="superscript"/>
    </w:rPr>
  </w:style>
  <w:style w:type="character" w:customStyle="1" w:styleId="Symbols">
    <w:name w:val="Symbols"/>
    <w:basedOn w:val="DefaultParagraphFont"/>
    <w:rsid w:val="00397994"/>
    <w:rPr>
      <w:rFonts w:ascii="Symbol" w:hAnsi="Symbol"/>
    </w:rPr>
  </w:style>
  <w:style w:type="character" w:customStyle="1" w:styleId="MenuOptions">
    <w:name w:val="Menu Options"/>
    <w:basedOn w:val="DefaultParagraphFont"/>
    <w:rsid w:val="00397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994"/>
    <w:rPr>
      <w:b/>
    </w:rPr>
  </w:style>
  <w:style w:type="character" w:customStyle="1" w:styleId="Underlined">
    <w:name w:val="Underlined"/>
    <w:basedOn w:val="DefaultParagraphFont"/>
    <w:rsid w:val="00397994"/>
    <w:rPr>
      <w:u w:val="single"/>
    </w:rPr>
  </w:style>
  <w:style w:type="paragraph" w:customStyle="1" w:styleId="TableBodyTextRight">
    <w:name w:val="Table Body Text Right"/>
    <w:basedOn w:val="TableBodyText"/>
    <w:rsid w:val="00397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994"/>
    <w:rPr>
      <w:sz w:val="18"/>
    </w:rPr>
  </w:style>
  <w:style w:type="paragraph" w:customStyle="1" w:styleId="BodySmallRight">
    <w:name w:val="Body Small Right"/>
    <w:basedOn w:val="BodyTextRight"/>
    <w:rsid w:val="00397994"/>
    <w:rPr>
      <w:sz w:val="18"/>
      <w:szCs w:val="18"/>
    </w:rPr>
  </w:style>
  <w:style w:type="paragraph" w:customStyle="1" w:styleId="MarginEdition">
    <w:name w:val="Margin Edition"/>
    <w:basedOn w:val="MarginNote"/>
    <w:rsid w:val="00397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994"/>
    <w:rPr>
      <w:sz w:val="2"/>
      <w:szCs w:val="2"/>
    </w:rPr>
  </w:style>
  <w:style w:type="character" w:customStyle="1" w:styleId="Small">
    <w:name w:val="Small"/>
    <w:basedOn w:val="DefaultParagraphFont"/>
    <w:rsid w:val="00397994"/>
    <w:rPr>
      <w:sz w:val="16"/>
    </w:rPr>
  </w:style>
  <w:style w:type="paragraph" w:customStyle="1" w:styleId="WideTable">
    <w:name w:val="Wide Table"/>
    <w:basedOn w:val="Normal"/>
    <w:rsid w:val="00397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994"/>
  </w:style>
  <w:style w:type="paragraph" w:styleId="Quote">
    <w:name w:val="Quote"/>
    <w:basedOn w:val="Heading1"/>
    <w:link w:val="QuoteChar"/>
    <w:qFormat/>
    <w:rsid w:val="00397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994"/>
    <w:pPr>
      <w:pageBreakBefore/>
    </w:pPr>
  </w:style>
  <w:style w:type="paragraph" w:customStyle="1" w:styleId="Border">
    <w:name w:val="Border"/>
    <w:basedOn w:val="Normal"/>
    <w:qFormat/>
    <w:rsid w:val="00397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994"/>
    <w:rPr>
      <w:u w:val="single"/>
    </w:rPr>
  </w:style>
  <w:style w:type="character" w:customStyle="1" w:styleId="BoldandItalics">
    <w:name w:val="Bold and Italics"/>
    <w:qFormat/>
    <w:rsid w:val="00397994"/>
    <w:rPr>
      <w:b/>
      <w:i/>
      <w:u w:val="none"/>
    </w:rPr>
  </w:style>
  <w:style w:type="paragraph" w:styleId="BalloonText">
    <w:name w:val="Balloon Text"/>
    <w:basedOn w:val="Normal"/>
    <w:link w:val="BalloonTextChar"/>
    <w:rsid w:val="00397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994"/>
    <w:pPr>
      <w:spacing w:before="0" w:after="0"/>
    </w:pPr>
  </w:style>
  <w:style w:type="paragraph" w:customStyle="1" w:styleId="BodyTextBold">
    <w:name w:val="Body Text Bold"/>
    <w:basedOn w:val="BodyText"/>
    <w:qFormat/>
    <w:rsid w:val="00397994"/>
    <w:rPr>
      <w:b/>
    </w:rPr>
  </w:style>
  <w:style w:type="character" w:styleId="Hyperlink">
    <w:name w:val="Hyperlink"/>
    <w:basedOn w:val="DefaultParagraphFont"/>
    <w:uiPriority w:val="99"/>
    <w:unhideWhenUsed/>
    <w:rsid w:val="00E614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3319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CPCCBS6118 Assess and advise on performance solutions for Class 1 and 10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