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B49" w:rsidP="002C6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CPCCBS6115 Conduct and report on advanced and final inspections of Class 2 to 9 buildings to three storeys</w:t>
      </w:r>
      <w:r>
        <w:fldChar w:fldCharType="end"/>
      </w:r>
    </w:p>
    <w:p w:rsidR="002C6B49" w:rsidP="002C6B49">
      <w:pPr>
        <w:pStyle w:val="Version"/>
        <w:sectPr w:rsidSect="00C554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5426" w:rsidP="00C55426">
      <w:pPr>
        <w:pStyle w:val="SuperHeading"/>
      </w:pPr>
      <w:r w:rsidRPr="00C55426">
        <w:t>Assessment Requirements for CPCCBS6115 Conduct and report on advanced and final inspections of Class 2 to 9 buildings to three storeys</w:t>
      </w:r>
    </w:p>
    <w:p w:rsidR="00000000" w:rsidRPr="00C55426" w:rsidP="00C55426">
      <w:pPr>
        <w:pStyle w:val="Heading1"/>
      </w:pPr>
      <w:bookmarkStart w:id="1" w:name="O_1144101"/>
      <w:bookmarkEnd w:id="1"/>
      <w:r w:rsidRPr="00C554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C554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426">
            <w:pPr>
              <w:pStyle w:val="BodyText"/>
              <w:rPr>
                <w:lang w:val="en-NZ"/>
              </w:rPr>
            </w:pPr>
            <w:r w:rsidRPr="00C55426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426" w:rsidP="00C55426">
            <w:pPr>
              <w:pStyle w:val="BodyText"/>
            </w:pPr>
            <w:r w:rsidRPr="00C55426">
              <w:t>This version first released with CPC Construction, Plumbing and Services Training Package Release 6.0.</w:t>
            </w:r>
          </w:p>
          <w:p w:rsidR="00000000" w:rsidRPr="00C55426" w:rsidP="00C55426">
            <w:pPr>
              <w:pStyle w:val="BodyText"/>
            </w:pPr>
            <w:r w:rsidRPr="00C55426">
              <w:t>Supersedes and is not equivalent to CPCCBS6015 Conduct and report on advanced and final inspections of commercial buildings up to three storeys.</w:t>
            </w:r>
          </w:p>
          <w:p w:rsidR="00000000" w:rsidRPr="00C55426" w:rsidP="00C55426">
            <w:pPr>
              <w:pStyle w:val="BodyText"/>
            </w:pPr>
            <w:r w:rsidRPr="00C55426">
              <w:t>New prer</w:t>
            </w:r>
            <w:r w:rsidRPr="00C55426">
              <w:t>equisite requirement.</w:t>
            </w:r>
          </w:p>
        </w:tc>
      </w:tr>
    </w:tbl>
    <w:p w:rsidR="00000000" w:rsidRPr="00C55426" w:rsidP="00C55426">
      <w:pPr>
        <w:pStyle w:val="BodyText"/>
      </w:pPr>
    </w:p>
    <w:p w:rsidR="00000000" w:rsidRPr="00C55426" w:rsidP="00C55426">
      <w:pPr>
        <w:pStyle w:val="AllowPageBreak"/>
      </w:pPr>
    </w:p>
    <w:p w:rsidR="00000000" w:rsidRPr="00C55426" w:rsidP="00C55426">
      <w:pPr>
        <w:pStyle w:val="Heading1"/>
      </w:pPr>
      <w:bookmarkStart w:id="2" w:name="O_1144104"/>
      <w:bookmarkEnd w:id="2"/>
      <w:r w:rsidRPr="00C55426">
        <w:t>Performance Evidence</w:t>
      </w:r>
    </w:p>
    <w:p w:rsidR="00000000" w:rsidRPr="00C55426" w:rsidP="002C6B49">
      <w:pPr>
        <w:pStyle w:val="BodyText"/>
      </w:pPr>
      <w:r w:rsidRPr="00C55426">
        <w:t>To demonstrate competency, a candidate must meet the elements and performance criteria of this unit by conducting and reporting on advanced and final inspections for three projects involving t</w:t>
      </w:r>
      <w:r w:rsidRPr="00C55426">
        <w:t>he following Classes of buildings as defined by the National Construction Code (NCC):</w:t>
      </w:r>
    </w:p>
    <w:p w:rsidR="00000000" w:rsidRPr="00C55426" w:rsidP="00C55426">
      <w:pPr>
        <w:pStyle w:val="ListBullet"/>
      </w:pPr>
      <w:r w:rsidRPr="00C55426">
        <w:t>one project incorporating Class 5 or Class 6</w:t>
      </w:r>
    </w:p>
    <w:p w:rsidR="00000000" w:rsidRPr="00C55426" w:rsidP="00C55426">
      <w:pPr>
        <w:pStyle w:val="ListBullet"/>
      </w:pPr>
      <w:r w:rsidRPr="00C55426">
        <w:t>one project incorporating Class 2 or Class 3 or Class 9c</w:t>
      </w:r>
    </w:p>
    <w:p w:rsidR="00000000" w:rsidRPr="00C55426" w:rsidP="00C55426">
      <w:pPr>
        <w:pStyle w:val="ListBullet"/>
      </w:pPr>
      <w:r w:rsidRPr="00C55426">
        <w:t>one project incorporating Class 7 or Class 8.</w:t>
      </w:r>
    </w:p>
    <w:p w:rsidR="00000000" w:rsidRPr="00C55426" w:rsidP="002C6B49">
      <w:pPr>
        <w:pStyle w:val="BodyText"/>
      </w:pPr>
      <w:r w:rsidRPr="00C55426">
        <w:t>Each building must be up to three storeys and not exceeding 2,000 square metres in floor area, and in a different geographical location as defined by the NCC.</w:t>
      </w:r>
    </w:p>
    <w:p w:rsidR="00000000" w:rsidRPr="00C55426" w:rsidP="002C6B49">
      <w:pPr>
        <w:pStyle w:val="BodyText"/>
      </w:pPr>
      <w:r w:rsidRPr="00C55426">
        <w:t xml:space="preserve">For each project, the candidate must assess and confirm the compliance of the following building </w:t>
      </w:r>
      <w:r w:rsidRPr="00C55426">
        <w:t>features against approved drawings, NCC and regulatory requirements:</w:t>
      </w:r>
    </w:p>
    <w:p w:rsidR="00000000" w:rsidRPr="00C55426" w:rsidP="00C55426">
      <w:pPr>
        <w:pStyle w:val="ListBullet"/>
      </w:pPr>
      <w:r w:rsidRPr="00C55426">
        <w:t>access and egress</w:t>
      </w:r>
    </w:p>
    <w:p w:rsidR="00000000" w:rsidRPr="00C55426" w:rsidP="00C55426">
      <w:pPr>
        <w:pStyle w:val="ListBullet"/>
      </w:pPr>
      <w:r w:rsidRPr="00C55426">
        <w:t>services and equipment</w:t>
      </w:r>
    </w:p>
    <w:p w:rsidR="00000000" w:rsidRPr="00C55426" w:rsidP="00C55426">
      <w:pPr>
        <w:pStyle w:val="ListBullet"/>
      </w:pPr>
      <w:r w:rsidRPr="00C55426">
        <w:t>health and amenity</w:t>
      </w:r>
    </w:p>
    <w:p w:rsidR="00000000" w:rsidRPr="00C55426" w:rsidP="00C55426">
      <w:pPr>
        <w:pStyle w:val="ListBullet"/>
      </w:pPr>
      <w:r w:rsidRPr="00C55426">
        <w:t>ancillary provisions</w:t>
      </w:r>
    </w:p>
    <w:p w:rsidR="00000000" w:rsidRPr="00C55426" w:rsidP="00C55426">
      <w:pPr>
        <w:pStyle w:val="ListBullet"/>
      </w:pPr>
      <w:r w:rsidRPr="00C55426">
        <w:t>energy efficiency.</w:t>
      </w:r>
    </w:p>
    <w:p w:rsidR="00000000" w:rsidRPr="00C55426" w:rsidP="00C55426">
      <w:pPr>
        <w:pStyle w:val="AllowPageBreak"/>
      </w:pPr>
    </w:p>
    <w:p w:rsidR="00000000" w:rsidRPr="00C55426" w:rsidP="00C55426">
      <w:pPr>
        <w:pStyle w:val="Heading1"/>
      </w:pPr>
      <w:bookmarkStart w:id="3" w:name="O_1144103"/>
      <w:bookmarkEnd w:id="3"/>
      <w:r w:rsidRPr="00C55426">
        <w:t>Knowledge Evidence</w:t>
      </w:r>
    </w:p>
    <w:p w:rsidR="00000000" w:rsidRPr="00C55426" w:rsidP="002C6B49">
      <w:pPr>
        <w:pStyle w:val="BodyText"/>
      </w:pPr>
      <w:r w:rsidRPr="00C55426">
        <w:t>To be competent in this unit, a candidate must d</w:t>
      </w:r>
      <w:r w:rsidRPr="00C55426">
        <w:t>emonstrate knowledge of:</w:t>
      </w:r>
    </w:p>
    <w:p w:rsidR="00000000" w:rsidRPr="00C55426" w:rsidP="00C55426">
      <w:pPr>
        <w:pStyle w:val="ListBullet"/>
      </w:pPr>
      <w:r w:rsidRPr="00C55426">
        <w:t>legislative and regulatory compliance requirements for fire resistance, access and egress, services and equipment, health and amenity, ancillary provisions, safe movement and access, and energy efficiency of Class 2 to 9 buildings</w:t>
      </w:r>
      <w:r w:rsidRPr="00C55426">
        <w:t xml:space="preserve"> at the advanced and final stages of construction in different climate zones and geographic locations:</w:t>
      </w:r>
    </w:p>
    <w:p w:rsidR="00000000" w:rsidRPr="00C55426" w:rsidP="00C55426">
      <w:pPr>
        <w:pStyle w:val="ListBullet2"/>
      </w:pPr>
      <w:r w:rsidRPr="00C55426">
        <w:t>building control legislation and regulations</w:t>
      </w:r>
    </w:p>
    <w:p w:rsidR="00000000" w:rsidRPr="00C55426" w:rsidP="00C55426">
      <w:pPr>
        <w:pStyle w:val="ListBullet2"/>
      </w:pPr>
      <w:r w:rsidRPr="00C55426">
        <w:t>NCC including referenced Australian Standards to meet deemed-to-satisfy provisions and/or performance solutions:</w:t>
      </w:r>
    </w:p>
    <w:p w:rsidR="00000000" w:rsidRPr="00C55426" w:rsidP="00C55426">
      <w:pPr>
        <w:pStyle w:val="ListBullet3"/>
      </w:pPr>
      <w:r w:rsidRPr="00C55426">
        <w:t>fire resistance:</w:t>
      </w:r>
    </w:p>
    <w:p w:rsidR="00000000" w:rsidRPr="00C55426" w:rsidP="00C55426">
      <w:pPr>
        <w:pStyle w:val="ListBullet4"/>
      </w:pPr>
      <w:r w:rsidRPr="00C55426">
        <w:t>fire resistance and stability</w:t>
      </w:r>
    </w:p>
    <w:p w:rsidR="00000000" w:rsidRPr="00C55426" w:rsidP="00C55426">
      <w:pPr>
        <w:pStyle w:val="ListBullet4"/>
      </w:pPr>
      <w:r w:rsidRPr="00C55426">
        <w:t>compartmentation and separation and protection of openings</w:t>
      </w:r>
    </w:p>
    <w:p w:rsidR="00000000" w:rsidRPr="00C55426" w:rsidP="00C55426">
      <w:pPr>
        <w:pStyle w:val="ListBullet3"/>
      </w:pPr>
      <w:r w:rsidRPr="00C55426">
        <w:t>access and egress:</w:t>
      </w:r>
    </w:p>
    <w:p w:rsidR="00000000" w:rsidRPr="00C55426" w:rsidP="00C55426">
      <w:pPr>
        <w:pStyle w:val="ListBullet4"/>
      </w:pPr>
      <w:r w:rsidRPr="00C55426">
        <w:t>provisions for</w:t>
      </w:r>
      <w:r w:rsidRPr="00C55426">
        <w:t xml:space="preserve"> escape</w:t>
      </w:r>
    </w:p>
    <w:p w:rsidR="00000000" w:rsidRPr="00C55426" w:rsidP="00C55426">
      <w:pPr>
        <w:pStyle w:val="ListBullet4"/>
      </w:pPr>
      <w:r w:rsidRPr="00C55426">
        <w:t>construction of exits</w:t>
      </w:r>
    </w:p>
    <w:p w:rsidR="00000000" w:rsidRPr="00C55426" w:rsidP="00C55426">
      <w:pPr>
        <w:pStyle w:val="ListBullet4"/>
      </w:pPr>
      <w:r w:rsidRPr="00C55426">
        <w:t>access for people with disabilities</w:t>
      </w:r>
    </w:p>
    <w:p w:rsidR="00000000" w:rsidRPr="00C55426" w:rsidP="00C55426">
      <w:pPr>
        <w:pStyle w:val="ListBullet3"/>
      </w:pPr>
      <w:r w:rsidRPr="00C55426">
        <w:t>services and equipment:</w:t>
      </w:r>
    </w:p>
    <w:p w:rsidR="00000000" w:rsidRPr="00C55426" w:rsidP="00C55426">
      <w:pPr>
        <w:pStyle w:val="ListBullet4"/>
      </w:pPr>
      <w:r w:rsidRPr="00C55426">
        <w:t>emergency lighting</w:t>
      </w:r>
    </w:p>
    <w:p w:rsidR="00000000" w:rsidRPr="00C55426" w:rsidP="00C55426">
      <w:pPr>
        <w:pStyle w:val="ListBullet4"/>
      </w:pPr>
      <w:r w:rsidRPr="00C55426">
        <w:t>exit signs and warning systems</w:t>
      </w:r>
    </w:p>
    <w:p w:rsidR="00000000" w:rsidRPr="00C55426" w:rsidP="00C55426">
      <w:pPr>
        <w:pStyle w:val="ListBullet4"/>
      </w:pPr>
      <w:r w:rsidRPr="00C55426">
        <w:t>fire suppression and detection equipment</w:t>
      </w:r>
    </w:p>
    <w:p w:rsidR="00000000" w:rsidRPr="00C55426" w:rsidP="00C55426">
      <w:pPr>
        <w:pStyle w:val="ListBullet4"/>
      </w:pPr>
      <w:r w:rsidRPr="00C55426">
        <w:t>lift installations</w:t>
      </w:r>
    </w:p>
    <w:p w:rsidR="00000000" w:rsidRPr="00C55426" w:rsidP="00C55426">
      <w:pPr>
        <w:pStyle w:val="ListBullet4"/>
      </w:pPr>
      <w:r w:rsidRPr="00C55426">
        <w:t>smoke hazard management</w:t>
      </w:r>
    </w:p>
    <w:p w:rsidR="00000000" w:rsidRPr="00C55426" w:rsidP="00C55426">
      <w:pPr>
        <w:pStyle w:val="ListBullet3"/>
      </w:pPr>
      <w:r w:rsidRPr="00C55426">
        <w:t>health and amenity:</w:t>
      </w:r>
    </w:p>
    <w:p w:rsidR="00000000" w:rsidRPr="00C55426" w:rsidP="00C55426">
      <w:pPr>
        <w:pStyle w:val="ListBullet4"/>
      </w:pPr>
      <w:r w:rsidRPr="00C55426">
        <w:t>damp and weather proofing</w:t>
      </w:r>
    </w:p>
    <w:p w:rsidR="00000000" w:rsidRPr="00C55426" w:rsidP="00C55426">
      <w:pPr>
        <w:pStyle w:val="ListBullet4"/>
      </w:pPr>
      <w:r w:rsidRPr="00C55426">
        <w:t>light and ventilation</w:t>
      </w:r>
    </w:p>
    <w:p w:rsidR="00000000" w:rsidRPr="00C55426" w:rsidP="00C55426">
      <w:pPr>
        <w:pStyle w:val="ListBullet4"/>
      </w:pPr>
      <w:r w:rsidRPr="00C55426">
        <w:t>room sizes</w:t>
      </w:r>
    </w:p>
    <w:p w:rsidR="00000000" w:rsidRPr="00C55426" w:rsidP="00C55426">
      <w:pPr>
        <w:pStyle w:val="ListBullet4"/>
      </w:pPr>
      <w:r w:rsidRPr="00C55426">
        <w:t>sanitary or other facilities</w:t>
      </w:r>
    </w:p>
    <w:p w:rsidR="00000000" w:rsidRPr="00C55426" w:rsidP="00C55426">
      <w:pPr>
        <w:pStyle w:val="ListBullet4"/>
      </w:pPr>
      <w:r w:rsidRPr="00C55426">
        <w:t>sound transmission and insulation</w:t>
      </w:r>
    </w:p>
    <w:p w:rsidR="00000000" w:rsidRPr="00C55426" w:rsidP="00C55426">
      <w:pPr>
        <w:pStyle w:val="ListBullet4"/>
      </w:pPr>
      <w:r w:rsidRPr="00C55426">
        <w:t>waterproofing of wet areas</w:t>
      </w:r>
    </w:p>
    <w:p w:rsidR="00000000" w:rsidRPr="00C55426" w:rsidP="00C55426">
      <w:pPr>
        <w:pStyle w:val="ListBullet3"/>
      </w:pPr>
      <w:r w:rsidRPr="00C55426">
        <w:t>ancillary provisions:</w:t>
      </w:r>
    </w:p>
    <w:p w:rsidR="00000000" w:rsidRPr="00C55426" w:rsidP="00C55426">
      <w:pPr>
        <w:pStyle w:val="ListBullet4"/>
      </w:pPr>
      <w:r w:rsidRPr="00C55426">
        <w:t>construction in bushfire prone areas</w:t>
      </w:r>
    </w:p>
    <w:p w:rsidR="00000000" w:rsidRPr="00C55426" w:rsidP="00C55426">
      <w:pPr>
        <w:pStyle w:val="ListBullet4"/>
      </w:pPr>
      <w:r w:rsidRPr="00C55426">
        <w:t>heating appliances, fireplaces, chimneys and flues</w:t>
      </w:r>
    </w:p>
    <w:p w:rsidR="00000000" w:rsidRPr="00C55426" w:rsidP="00C55426">
      <w:pPr>
        <w:pStyle w:val="ListBullet4"/>
      </w:pPr>
      <w:r w:rsidRPr="00C55426">
        <w:t>minor structures and components</w:t>
      </w:r>
    </w:p>
    <w:p w:rsidR="00000000" w:rsidRPr="00C55426" w:rsidP="00C55426">
      <w:pPr>
        <w:pStyle w:val="ListBullet3"/>
      </w:pPr>
      <w:r w:rsidRPr="00C55426">
        <w:t>energy efficiency:</w:t>
      </w:r>
    </w:p>
    <w:p w:rsidR="00000000" w:rsidRPr="00C55426" w:rsidP="00C55426">
      <w:pPr>
        <w:pStyle w:val="ListBullet4"/>
      </w:pPr>
      <w:r w:rsidRPr="00C55426">
        <w:t>access for maintenance</w:t>
      </w:r>
    </w:p>
    <w:p w:rsidR="00000000" w:rsidRPr="00C55426" w:rsidP="00C55426">
      <w:pPr>
        <w:pStyle w:val="ListBullet4"/>
      </w:pPr>
      <w:r w:rsidRPr="00C55426">
        <w:t>air movement</w:t>
      </w:r>
    </w:p>
    <w:p w:rsidR="00000000" w:rsidRPr="00C55426" w:rsidP="00C55426">
      <w:pPr>
        <w:pStyle w:val="ListBullet4"/>
      </w:pPr>
      <w:r w:rsidRPr="00C55426">
        <w:t>air conditioning and ventilation systems</w:t>
      </w:r>
    </w:p>
    <w:p w:rsidR="00000000" w:rsidRPr="00C55426" w:rsidP="00C55426">
      <w:pPr>
        <w:pStyle w:val="ListBullet4"/>
      </w:pPr>
      <w:r w:rsidRPr="00C55426">
        <w:t>artificial lighting and power</w:t>
      </w:r>
    </w:p>
    <w:p w:rsidR="00000000" w:rsidRPr="00C55426" w:rsidP="00C55426">
      <w:pPr>
        <w:pStyle w:val="ListBullet4"/>
      </w:pPr>
      <w:r w:rsidRPr="00C55426">
        <w:t>building: fabric and sealing</w:t>
      </w:r>
    </w:p>
    <w:p w:rsidR="00000000" w:rsidRPr="00C55426" w:rsidP="00C55426">
      <w:pPr>
        <w:pStyle w:val="ListBullet4"/>
      </w:pPr>
      <w:r w:rsidRPr="00C55426">
        <w:t>external glazing</w:t>
      </w:r>
    </w:p>
    <w:p w:rsidR="00000000" w:rsidRPr="00C55426" w:rsidP="00C55426">
      <w:pPr>
        <w:pStyle w:val="ListBullet4"/>
      </w:pPr>
      <w:r w:rsidRPr="00C55426">
        <w:t>hot water supply</w:t>
      </w:r>
    </w:p>
    <w:p w:rsidR="00000000" w:rsidRPr="00C55426" w:rsidP="00C55426">
      <w:pPr>
        <w:pStyle w:val="ListBullet"/>
      </w:pPr>
      <w:r w:rsidRPr="00C55426">
        <w:t>NCC classifications and definitions for buildings included in Classes 2 to 9:</w:t>
      </w:r>
    </w:p>
    <w:p w:rsidR="00000000" w:rsidRPr="00C55426" w:rsidP="00C55426">
      <w:pPr>
        <w:pStyle w:val="ListBullet2"/>
      </w:pPr>
      <w:r w:rsidRPr="00C55426">
        <w:t>building types</w:t>
      </w:r>
    </w:p>
    <w:p w:rsidR="00000000" w:rsidRPr="00C55426" w:rsidP="00C55426">
      <w:pPr>
        <w:pStyle w:val="ListBullet2"/>
      </w:pPr>
      <w:r w:rsidRPr="00C55426">
        <w:t>geographic and climate zones</w:t>
      </w:r>
    </w:p>
    <w:p w:rsidR="00000000" w:rsidRPr="00C55426" w:rsidP="00C55426">
      <w:pPr>
        <w:pStyle w:val="ListBullet"/>
      </w:pPr>
      <w:r w:rsidRPr="00C55426">
        <w:t xml:space="preserve">principles of negotiation and conflict resolution used to maintain professional relationships during </w:t>
      </w:r>
      <w:r w:rsidRPr="00C55426">
        <w:t>building inspection and reporting processes</w:t>
      </w:r>
    </w:p>
    <w:p w:rsidR="00000000" w:rsidRPr="00C55426" w:rsidP="00C55426">
      <w:pPr>
        <w:pStyle w:val="ListBullet"/>
      </w:pPr>
      <w:r w:rsidRPr="00C55426">
        <w:t>workplace requirements for conducting and reporting on advanced and final construction inspections of Class 1 and 10 buildings:</w:t>
      </w:r>
    </w:p>
    <w:p w:rsidR="00000000" w:rsidRPr="00C55426" w:rsidP="00C55426">
      <w:pPr>
        <w:pStyle w:val="ListBullet2"/>
      </w:pPr>
      <w:r w:rsidRPr="00C55426">
        <w:t>equipment, including personal protective equipment (PPE)</w:t>
      </w:r>
    </w:p>
    <w:p w:rsidR="00000000" w:rsidRPr="00C55426" w:rsidP="00C55426">
      <w:pPr>
        <w:pStyle w:val="ListBullet2"/>
      </w:pPr>
      <w:r w:rsidRPr="00C55426">
        <w:t>reporting</w:t>
      </w:r>
    </w:p>
    <w:p w:rsidR="00000000" w:rsidRPr="00C55426" w:rsidP="00C55426">
      <w:pPr>
        <w:pStyle w:val="ListBullet2"/>
      </w:pPr>
      <w:r w:rsidRPr="00C55426">
        <w:t xml:space="preserve">work health and </w:t>
      </w:r>
      <w:r w:rsidRPr="00C55426">
        <w:t>safety (WHS).</w:t>
      </w:r>
    </w:p>
    <w:p w:rsidR="00000000" w:rsidRPr="00C55426" w:rsidP="00C55426">
      <w:pPr>
        <w:pStyle w:val="AllowPageBreak"/>
      </w:pPr>
    </w:p>
    <w:p w:rsidR="00000000" w:rsidRPr="00C55426" w:rsidP="00C55426">
      <w:pPr>
        <w:pStyle w:val="Heading1"/>
      </w:pPr>
      <w:bookmarkStart w:id="4" w:name="O_1144102"/>
      <w:bookmarkEnd w:id="4"/>
      <w:r w:rsidRPr="00C55426">
        <w:t>Assessment Conditions</w:t>
      </w:r>
    </w:p>
    <w:p w:rsidR="00000000" w:rsidRPr="00C55426" w:rsidP="002C6B49">
      <w:pPr>
        <w:pStyle w:val="BodyText"/>
      </w:pPr>
      <w:r w:rsidRPr="00C55426">
        <w:t xml:space="preserve">Assessors must meet the requirements for assessors contained in the Standards for Registered Training Organisations. </w:t>
      </w:r>
    </w:p>
    <w:p w:rsidR="00000000" w:rsidRPr="00C55426" w:rsidP="002C6B49">
      <w:pPr>
        <w:pStyle w:val="BodyText"/>
      </w:pPr>
      <w:r w:rsidRPr="00C55426">
        <w:t>Assessors must also:</w:t>
      </w:r>
    </w:p>
    <w:p w:rsidR="00000000" w:rsidRPr="00C55426" w:rsidP="00C55426">
      <w:pPr>
        <w:pStyle w:val="ListBullet"/>
      </w:pPr>
      <w:r w:rsidRPr="00C55426">
        <w:t>be licensed as a Building Surveyor Level 1 (or equivalent) or</w:t>
      </w:r>
      <w:r w:rsidRPr="00C55426">
        <w:t xml:space="preserve"> Level 2 (or equivalent) in their state or territory, or</w:t>
      </w:r>
    </w:p>
    <w:p w:rsidR="00000000" w:rsidRPr="00C55426" w:rsidP="00C55426">
      <w:pPr>
        <w:pStyle w:val="ListBullet"/>
      </w:pPr>
      <w:r w:rsidRPr="00C55426">
        <w:t>demonstrate current membership of a relevant industry association and have current registration on the National Building Professionals Register in the Building Industry Control category (level 1), or</w:t>
      </w:r>
    </w:p>
    <w:p w:rsidR="00000000" w:rsidRPr="00C55426" w:rsidP="00C55426">
      <w:pPr>
        <w:pStyle w:val="ListBullet"/>
      </w:pPr>
      <w:r w:rsidRPr="00C55426">
        <w:t>be accredited under the Australian Institute of Building Surveyors (AIBS) National Accreditation Scheme at Building Surveyor level or be accredited by the Royal Institute of Chartered Surveyors as a building certifier.</w:t>
      </w:r>
    </w:p>
    <w:p w:rsidR="00000000" w:rsidRPr="00C55426" w:rsidP="002C6B49">
      <w:pPr>
        <w:pStyle w:val="BodyText"/>
      </w:pPr>
      <w:r w:rsidRPr="00C55426">
        <w:t xml:space="preserve">Assessment must be conducted in the </w:t>
      </w:r>
      <w:r w:rsidRPr="00C55426">
        <w:t>workplace or a simulated workplace using realistic conditions, materials, activities, responsibilities, procedures, safety requirements and environmental considerations.</w:t>
      </w:r>
    </w:p>
    <w:p w:rsidR="00000000" w:rsidRPr="00C55426" w:rsidP="002C6B49">
      <w:pPr>
        <w:pStyle w:val="BodyText"/>
      </w:pPr>
      <w:r w:rsidRPr="00C55426">
        <w:t>Candidates must have access to buildings, equipment, software, drawings, documentation</w:t>
      </w:r>
      <w:r w:rsidRPr="00C55426">
        <w:t xml:space="preserve"> and materials required to achieve the performance evidence.</w:t>
      </w:r>
    </w:p>
    <w:p w:rsidR="00000000" w:rsidRPr="00C55426" w:rsidP="00C55426">
      <w:pPr>
        <w:pStyle w:val="Heading1"/>
      </w:pPr>
      <w:bookmarkStart w:id="5" w:name="O_1144100"/>
      <w:bookmarkEnd w:id="5"/>
      <w:r w:rsidRPr="00C55426">
        <w:t>Links</w:t>
      </w:r>
    </w:p>
    <w:p w:rsidR="00000000" w:rsidRPr="00C55426" w:rsidP="002C6B49">
      <w:pPr>
        <w:pStyle w:val="BodyText"/>
      </w:pPr>
      <w:r w:rsidRPr="00C5542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E3AE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55426" w:rsidP="00C55426"/>
    <w:sectPr w:rsidSect="00C554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26" w:rsidRPr="002C6B49" w:rsidP="002C6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49" w:rsidP="00C554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B49" w:rsidP="00C554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C6B49" w:rsidP="00C554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426" w:rsidRPr="002C6B49" w:rsidP="002C6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49" w:rsidRPr="002D2AF8" w:rsidP="00C554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CPCCBS6115 Conduct and report on advanced and final inspections of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C6B49" w:rsidP="00C554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10E9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EA4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F29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4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4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4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4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4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4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4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4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4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4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4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426"/>
  </w:style>
  <w:style w:type="character" w:customStyle="1" w:styleId="Heading1Char">
    <w:name w:val="Heading 1 Char"/>
    <w:basedOn w:val="DefaultParagraphFont"/>
    <w:link w:val="Heading1"/>
    <w:rsid w:val="00C554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4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4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42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542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54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4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5542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42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C554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4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4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4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4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4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4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4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4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4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4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4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4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4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4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4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4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4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5426"/>
    <w:rPr>
      <w:b/>
      <w:spacing w:val="0"/>
    </w:rPr>
  </w:style>
  <w:style w:type="paragraph" w:customStyle="1" w:styleId="SuperTitle">
    <w:name w:val="SuperTitle"/>
    <w:basedOn w:val="Title"/>
    <w:rsid w:val="00C554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4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4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4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4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4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4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4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4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4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4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4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5426"/>
    <w:rPr>
      <w:i/>
    </w:rPr>
  </w:style>
  <w:style w:type="paragraph" w:styleId="Caption">
    <w:name w:val="caption"/>
    <w:basedOn w:val="BodyText"/>
    <w:next w:val="Normal"/>
    <w:qFormat/>
    <w:rsid w:val="00C554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4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4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426"/>
  </w:style>
  <w:style w:type="paragraph" w:styleId="TableofFigures">
    <w:name w:val="table of figures"/>
    <w:basedOn w:val="Normal"/>
    <w:next w:val="Normal"/>
    <w:semiHidden/>
    <w:rsid w:val="00C554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42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55426"/>
    <w:rPr>
      <w:rFonts w:ascii="Wingdings" w:hAnsi="Wingdings"/>
    </w:rPr>
  </w:style>
  <w:style w:type="paragraph" w:customStyle="1" w:styleId="TableHeading">
    <w:name w:val="Table Heading"/>
    <w:basedOn w:val="HeadingBase"/>
    <w:rsid w:val="00C554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426"/>
    <w:rPr>
      <w:color w:val="0033CC"/>
      <w:u w:val="none"/>
    </w:rPr>
  </w:style>
  <w:style w:type="paragraph" w:customStyle="1" w:styleId="BodyTextRight">
    <w:name w:val="Body Text Right"/>
    <w:basedOn w:val="BodyText"/>
    <w:rsid w:val="00C554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4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42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4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4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4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426"/>
    <w:rPr>
      <w:sz w:val="32"/>
    </w:rPr>
  </w:style>
  <w:style w:type="paragraph" w:customStyle="1" w:styleId="HeadingProcedure">
    <w:name w:val="Heading Procedure"/>
    <w:basedOn w:val="HeadingBase"/>
    <w:next w:val="Normal"/>
    <w:rsid w:val="00C554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426"/>
    <w:pPr>
      <w:spacing w:before="60" w:after="60"/>
    </w:pPr>
  </w:style>
  <w:style w:type="paragraph" w:styleId="ListContinue">
    <w:name w:val="List Continue"/>
    <w:basedOn w:val="List"/>
    <w:rsid w:val="00C55426"/>
    <w:pPr>
      <w:ind w:firstLine="0"/>
    </w:pPr>
  </w:style>
  <w:style w:type="paragraph" w:customStyle="1" w:styleId="ListNote">
    <w:name w:val="List Note"/>
    <w:basedOn w:val="List"/>
    <w:rsid w:val="00C554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4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4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426"/>
    <w:rPr>
      <w:rFonts w:ascii="Courier New" w:hAnsi="Courier New"/>
    </w:rPr>
  </w:style>
  <w:style w:type="paragraph" w:customStyle="1" w:styleId="NoteBullet">
    <w:name w:val="Note Bullet"/>
    <w:basedOn w:val="Note"/>
    <w:rsid w:val="00C554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4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4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4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42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554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4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426"/>
    <w:rPr>
      <w:b/>
      <w:smallCaps/>
    </w:rPr>
  </w:style>
  <w:style w:type="paragraph" w:customStyle="1" w:styleId="TableListNumber">
    <w:name w:val="Table List Number"/>
    <w:basedOn w:val="ListNumber"/>
    <w:rsid w:val="00C554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4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426"/>
    <w:pPr>
      <w:numPr>
        <w:numId w:val="11"/>
      </w:numPr>
    </w:pPr>
  </w:style>
  <w:style w:type="paragraph" w:customStyle="1" w:styleId="ListAlpha2">
    <w:name w:val="List Alpha 2"/>
    <w:basedOn w:val="List2"/>
    <w:rsid w:val="00C55426"/>
    <w:pPr>
      <w:numPr>
        <w:numId w:val="10"/>
      </w:numPr>
    </w:pPr>
  </w:style>
  <w:style w:type="paragraph" w:styleId="List2">
    <w:name w:val="List 2"/>
    <w:basedOn w:val="BodyText"/>
    <w:rsid w:val="00C554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4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4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42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55426"/>
    <w:pPr>
      <w:numPr>
        <w:numId w:val="6"/>
      </w:numPr>
    </w:pPr>
  </w:style>
  <w:style w:type="paragraph" w:styleId="ListContinue2">
    <w:name w:val="List Continue 2"/>
    <w:basedOn w:val="List2"/>
    <w:rsid w:val="00C55426"/>
    <w:pPr>
      <w:ind w:firstLine="0"/>
    </w:pPr>
  </w:style>
  <w:style w:type="paragraph" w:styleId="ListContinue3">
    <w:name w:val="List Continue 3"/>
    <w:basedOn w:val="List3"/>
    <w:rsid w:val="00C55426"/>
    <w:pPr>
      <w:ind w:left="1021" w:firstLine="0"/>
    </w:pPr>
  </w:style>
  <w:style w:type="paragraph" w:styleId="ListContinue4">
    <w:name w:val="List Continue 4"/>
    <w:basedOn w:val="List4"/>
    <w:rsid w:val="00C55426"/>
    <w:pPr>
      <w:ind w:firstLine="0"/>
    </w:pPr>
  </w:style>
  <w:style w:type="paragraph" w:styleId="ListContinue5">
    <w:name w:val="List Continue 5"/>
    <w:basedOn w:val="List5"/>
    <w:rsid w:val="00C55426"/>
    <w:pPr>
      <w:ind w:firstLine="0"/>
    </w:pPr>
  </w:style>
  <w:style w:type="paragraph" w:styleId="ListNumber3">
    <w:name w:val="List Number 3"/>
    <w:basedOn w:val="List3"/>
    <w:rsid w:val="00C55426"/>
    <w:pPr>
      <w:numPr>
        <w:numId w:val="7"/>
      </w:numPr>
    </w:pPr>
  </w:style>
  <w:style w:type="paragraph" w:styleId="ListNumber4">
    <w:name w:val="List Number 4"/>
    <w:basedOn w:val="List4"/>
    <w:rsid w:val="00C55426"/>
    <w:pPr>
      <w:numPr>
        <w:numId w:val="8"/>
      </w:numPr>
    </w:pPr>
  </w:style>
  <w:style w:type="paragraph" w:styleId="ListNumber5">
    <w:name w:val="List Number 5"/>
    <w:basedOn w:val="List5"/>
    <w:rsid w:val="00C55426"/>
    <w:pPr>
      <w:numPr>
        <w:numId w:val="9"/>
      </w:numPr>
    </w:pPr>
  </w:style>
  <w:style w:type="paragraph" w:styleId="BlockText">
    <w:name w:val="Block Text"/>
    <w:basedOn w:val="Normal"/>
    <w:rsid w:val="00C554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4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426"/>
    <w:rPr>
      <w:sz w:val="16"/>
      <w:vertAlign w:val="superscript"/>
    </w:rPr>
  </w:style>
  <w:style w:type="character" w:customStyle="1" w:styleId="Symbols">
    <w:name w:val="Symbols"/>
    <w:basedOn w:val="DefaultParagraphFont"/>
    <w:rsid w:val="00C55426"/>
    <w:rPr>
      <w:rFonts w:ascii="Symbol" w:hAnsi="Symbol"/>
    </w:rPr>
  </w:style>
  <w:style w:type="character" w:customStyle="1" w:styleId="MenuOptions">
    <w:name w:val="Menu Options"/>
    <w:basedOn w:val="DefaultParagraphFont"/>
    <w:rsid w:val="00C554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426"/>
    <w:rPr>
      <w:b/>
    </w:rPr>
  </w:style>
  <w:style w:type="character" w:customStyle="1" w:styleId="Underlined">
    <w:name w:val="Underlined"/>
    <w:basedOn w:val="DefaultParagraphFont"/>
    <w:rsid w:val="00C55426"/>
    <w:rPr>
      <w:u w:val="single"/>
    </w:rPr>
  </w:style>
  <w:style w:type="paragraph" w:customStyle="1" w:styleId="TableBodyTextRight">
    <w:name w:val="Table Body Text Right"/>
    <w:basedOn w:val="TableBodyText"/>
    <w:rsid w:val="00C554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426"/>
    <w:rPr>
      <w:sz w:val="18"/>
    </w:rPr>
  </w:style>
  <w:style w:type="paragraph" w:customStyle="1" w:styleId="BodySmallRight">
    <w:name w:val="Body Small Right"/>
    <w:basedOn w:val="BodyTextRight"/>
    <w:rsid w:val="00C55426"/>
    <w:rPr>
      <w:sz w:val="18"/>
      <w:szCs w:val="18"/>
    </w:rPr>
  </w:style>
  <w:style w:type="paragraph" w:customStyle="1" w:styleId="MarginEdition">
    <w:name w:val="Margin Edition"/>
    <w:basedOn w:val="MarginNote"/>
    <w:rsid w:val="00C554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426"/>
    <w:rPr>
      <w:sz w:val="2"/>
      <w:szCs w:val="2"/>
    </w:rPr>
  </w:style>
  <w:style w:type="character" w:customStyle="1" w:styleId="Small">
    <w:name w:val="Small"/>
    <w:basedOn w:val="DefaultParagraphFont"/>
    <w:rsid w:val="00C55426"/>
    <w:rPr>
      <w:sz w:val="16"/>
    </w:rPr>
  </w:style>
  <w:style w:type="paragraph" w:customStyle="1" w:styleId="WideTable">
    <w:name w:val="Wide Table"/>
    <w:basedOn w:val="Normal"/>
    <w:rsid w:val="00C554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426"/>
  </w:style>
  <w:style w:type="paragraph" w:styleId="Quote">
    <w:name w:val="Quote"/>
    <w:basedOn w:val="Heading1"/>
    <w:link w:val="QuoteChar"/>
    <w:qFormat/>
    <w:rsid w:val="00C554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4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426"/>
    <w:pPr>
      <w:pageBreakBefore/>
    </w:pPr>
  </w:style>
  <w:style w:type="paragraph" w:customStyle="1" w:styleId="Border">
    <w:name w:val="Border"/>
    <w:basedOn w:val="Normal"/>
    <w:qFormat/>
    <w:rsid w:val="00C554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4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4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4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4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4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4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4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4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426"/>
    <w:rPr>
      <w:u w:val="single"/>
    </w:rPr>
  </w:style>
  <w:style w:type="character" w:customStyle="1" w:styleId="BoldandItalics">
    <w:name w:val="Bold and Italics"/>
    <w:qFormat/>
    <w:rsid w:val="00C55426"/>
    <w:rPr>
      <w:b/>
      <w:i/>
      <w:u w:val="none"/>
    </w:rPr>
  </w:style>
  <w:style w:type="paragraph" w:styleId="BalloonText">
    <w:name w:val="Balloon Text"/>
    <w:basedOn w:val="Normal"/>
    <w:link w:val="BalloonTextChar"/>
    <w:rsid w:val="00C55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4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4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4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4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4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426"/>
    <w:pPr>
      <w:spacing w:before="0" w:after="0"/>
    </w:pPr>
  </w:style>
  <w:style w:type="paragraph" w:customStyle="1" w:styleId="BodyTextBold">
    <w:name w:val="Body Text Bold"/>
    <w:basedOn w:val="BodyText"/>
    <w:qFormat/>
    <w:rsid w:val="00C55426"/>
    <w:rPr>
      <w:b/>
    </w:rPr>
  </w:style>
  <w:style w:type="character" w:styleId="Hyperlink">
    <w:name w:val="Hyperlink"/>
    <w:basedOn w:val="DefaultParagraphFont"/>
    <w:uiPriority w:val="99"/>
    <w:unhideWhenUsed/>
    <w:rsid w:val="002C6B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649</Words>
  <Characters>4150</Characters>
  <Application>Microsoft Office Word</Application>
  <DocSecurity>0</DocSecurity>
  <Lines>112</Lines>
  <Paragraphs>88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CPCCBS6115 Conduct and report on advanced and final inspections of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