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EAE" w:rsidP="00977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CPCCBS6112 Conduct and report on initial construction inspections of Class 1 and 10 buildings to three storeys</w:t>
      </w:r>
      <w:r>
        <w:fldChar w:fldCharType="end"/>
      </w:r>
    </w:p>
    <w:p w:rsidR="00977EAE" w:rsidP="00977EAE">
      <w:pPr>
        <w:pStyle w:val="Version"/>
        <w:sectPr w:rsidSect="006A6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E3B" w:rsidP="006A6E3B">
      <w:pPr>
        <w:pStyle w:val="SuperHeading"/>
      </w:pPr>
      <w:r w:rsidRPr="006A6E3B">
        <w:t>Assessment Requirements for CPCCBS6112 Conduct and report on initial construction inspections of Class 1 and 10 buildings to three storeys</w:t>
      </w:r>
    </w:p>
    <w:p w:rsidR="00000000" w:rsidRPr="006A6E3B" w:rsidP="006A6E3B">
      <w:pPr>
        <w:pStyle w:val="Heading1"/>
      </w:pPr>
      <w:bookmarkStart w:id="1" w:name="O_1144020"/>
      <w:bookmarkEnd w:id="1"/>
      <w:r w:rsidRPr="006A6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6A6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E3B">
            <w:pPr>
              <w:pStyle w:val="BodyText"/>
              <w:rPr>
                <w:lang w:val="en-NZ"/>
              </w:rPr>
            </w:pPr>
            <w:r w:rsidRPr="006A6E3B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E3B" w:rsidP="006A6E3B">
            <w:pPr>
              <w:pStyle w:val="BodyText"/>
            </w:pPr>
            <w:r w:rsidRPr="006A6E3B">
              <w:t>This version first released with CPC Construction, Plumbing and Services Training Package Release 6.0.</w:t>
            </w:r>
          </w:p>
          <w:p w:rsidR="00000000" w:rsidRPr="006A6E3B" w:rsidP="006A6E3B">
            <w:pPr>
              <w:pStyle w:val="BodyText"/>
            </w:pPr>
            <w:r w:rsidRPr="006A6E3B">
              <w:t>Supersedes and is not equivalent to CPCCBS6012 Conduct and report on initial construction inspections of residential buildings up to three storeys.</w:t>
            </w:r>
          </w:p>
          <w:p w:rsidR="00000000" w:rsidRPr="006A6E3B" w:rsidP="006A6E3B">
            <w:pPr>
              <w:pStyle w:val="BodyText"/>
            </w:pPr>
            <w:r w:rsidRPr="006A6E3B">
              <w:t>New p</w:t>
            </w:r>
            <w:r w:rsidRPr="006A6E3B">
              <w:t>rerequisite requirement.</w:t>
            </w:r>
          </w:p>
        </w:tc>
      </w:tr>
    </w:tbl>
    <w:p w:rsidR="00000000" w:rsidRPr="006A6E3B" w:rsidP="006A6E3B">
      <w:pPr>
        <w:pStyle w:val="BodyText"/>
      </w:pPr>
    </w:p>
    <w:p w:rsidR="00000000" w:rsidRPr="006A6E3B" w:rsidP="006A6E3B">
      <w:pPr>
        <w:pStyle w:val="AllowPageBreak"/>
      </w:pPr>
    </w:p>
    <w:p w:rsidR="00000000" w:rsidRPr="006A6E3B" w:rsidP="006A6E3B">
      <w:pPr>
        <w:pStyle w:val="Heading1"/>
      </w:pPr>
      <w:bookmarkStart w:id="2" w:name="O_1144023"/>
      <w:bookmarkEnd w:id="2"/>
      <w:r w:rsidRPr="006A6E3B">
        <w:t>Performance Evidence</w:t>
      </w:r>
    </w:p>
    <w:p w:rsidR="00000000" w:rsidRPr="006A6E3B" w:rsidP="00977EAE">
      <w:pPr>
        <w:pStyle w:val="BodyText"/>
      </w:pPr>
      <w:r w:rsidRPr="006A6E3B">
        <w:t>To demonstrate competency, a candidate must meet the elements and performance criteria of this unit by conducting and reporting on three initial construction inspections involving the follo</w:t>
      </w:r>
      <w:r w:rsidRPr="006A6E3B">
        <w:t>wing Classes of buildings as defined by the National Construction Code (NCC):</w:t>
      </w:r>
    </w:p>
    <w:p w:rsidR="00000000" w:rsidRPr="006A6E3B" w:rsidP="006A6E3B">
      <w:pPr>
        <w:pStyle w:val="ListBullet"/>
      </w:pPr>
      <w:r w:rsidRPr="006A6E3B">
        <w:t>two Class 1 buildings</w:t>
      </w:r>
    </w:p>
    <w:p w:rsidR="00000000" w:rsidRPr="006A6E3B" w:rsidP="006A6E3B">
      <w:pPr>
        <w:pStyle w:val="ListBullet"/>
      </w:pPr>
      <w:r w:rsidRPr="006A6E3B">
        <w:t>one Class 10 building excluding sheds and swimming pools.</w:t>
      </w:r>
    </w:p>
    <w:p w:rsidR="00000000" w:rsidRPr="006A6E3B" w:rsidP="00977EAE">
      <w:pPr>
        <w:pStyle w:val="BodyText"/>
      </w:pPr>
      <w:r w:rsidRPr="006A6E3B">
        <w:t>Each building must be up to three storeys and not exceed</w:t>
      </w:r>
      <w:r w:rsidRPr="006A6E3B">
        <w:t>ing 2,000 square metres in floor area, and in a different geographical location as defined by the NCC.</w:t>
      </w:r>
    </w:p>
    <w:p w:rsidR="00000000" w:rsidRPr="006A6E3B" w:rsidP="006A6E3B">
      <w:pPr>
        <w:pStyle w:val="Heading1"/>
      </w:pPr>
      <w:bookmarkStart w:id="3" w:name="O_1144022"/>
      <w:bookmarkEnd w:id="3"/>
      <w:r w:rsidRPr="006A6E3B">
        <w:t>Knowledge Evidence</w:t>
      </w:r>
    </w:p>
    <w:p w:rsidR="00000000" w:rsidRPr="006A6E3B" w:rsidP="00977EAE">
      <w:pPr>
        <w:pStyle w:val="BodyText"/>
      </w:pPr>
      <w:r w:rsidRPr="006A6E3B">
        <w:t>To be competent in this unit, a candidate must demonstrate knowledge of:</w:t>
      </w:r>
    </w:p>
    <w:p w:rsidR="00000000" w:rsidRPr="006A6E3B" w:rsidP="006A6E3B">
      <w:pPr>
        <w:pStyle w:val="ListBullet"/>
      </w:pPr>
      <w:r w:rsidRPr="006A6E3B">
        <w:t>legislative and regulatory compliance req</w:t>
      </w:r>
      <w:r w:rsidRPr="006A6E3B">
        <w:t>uirements for site preparation, foundations, footings, framing and wet areas of Class 1 and 10 buildings at the initial stage of construction:</w:t>
      </w:r>
    </w:p>
    <w:p w:rsidR="00000000" w:rsidRPr="006A6E3B" w:rsidP="006A6E3B">
      <w:pPr>
        <w:pStyle w:val="ListBullet2"/>
      </w:pPr>
      <w:r w:rsidRPr="006A6E3B">
        <w:t>building control legislation and regulations</w:t>
      </w:r>
    </w:p>
    <w:p w:rsidR="00000000" w:rsidRPr="006A6E3B" w:rsidP="006A6E3B">
      <w:pPr>
        <w:pStyle w:val="ListBullet2"/>
      </w:pPr>
      <w:r w:rsidRPr="006A6E3B">
        <w:t>NCC including referenced Australian Standards to meet deemed-to-sat</w:t>
      </w:r>
      <w:r w:rsidRPr="006A6E3B">
        <w:t>isfy provisions and/or performance solutions:</w:t>
      </w:r>
    </w:p>
    <w:p w:rsidR="00000000" w:rsidRPr="006A6E3B" w:rsidP="006A6E3B">
      <w:pPr>
        <w:pStyle w:val="ListBullet3"/>
      </w:pPr>
      <w:r w:rsidRPr="006A6E3B">
        <w:t>stormwater drainage and connections to street gutter and easements</w:t>
      </w:r>
    </w:p>
    <w:p w:rsidR="00000000" w:rsidRPr="006A6E3B" w:rsidP="006A6E3B">
      <w:pPr>
        <w:pStyle w:val="ListBullet3"/>
      </w:pPr>
      <w:r w:rsidRPr="006A6E3B">
        <w:t>excavations, filling under concrete slabs and pest risk management</w:t>
      </w:r>
    </w:p>
    <w:p w:rsidR="00000000" w:rsidRPr="006A6E3B" w:rsidP="006A6E3B">
      <w:pPr>
        <w:pStyle w:val="ListBullet3"/>
      </w:pPr>
      <w:r w:rsidRPr="006A6E3B">
        <w:t>sub-floor ventilation</w:t>
      </w:r>
    </w:p>
    <w:p w:rsidR="00000000" w:rsidRPr="006A6E3B" w:rsidP="006A6E3B">
      <w:pPr>
        <w:pStyle w:val="ListBullet3"/>
      </w:pPr>
      <w:r w:rsidRPr="006A6E3B">
        <w:t>steel framing and structural steel members:</w:t>
      </w:r>
    </w:p>
    <w:p w:rsidR="00000000" w:rsidRPr="006A6E3B" w:rsidP="006A6E3B">
      <w:pPr>
        <w:pStyle w:val="ListBullet4"/>
      </w:pPr>
      <w:r w:rsidRPr="006A6E3B">
        <w:t>corrosion protection</w:t>
      </w:r>
    </w:p>
    <w:p w:rsidR="00000000" w:rsidRPr="006A6E3B" w:rsidP="006A6E3B">
      <w:pPr>
        <w:pStyle w:val="ListBullet4"/>
      </w:pPr>
      <w:r w:rsidRPr="006A6E3B">
        <w:t>National Association of Steel-Framed Housing (NASH) standards</w:t>
      </w:r>
    </w:p>
    <w:p w:rsidR="00000000" w:rsidRPr="006A6E3B" w:rsidP="006A6E3B">
      <w:pPr>
        <w:pStyle w:val="ListBullet4"/>
      </w:pPr>
      <w:r w:rsidRPr="006A6E3B">
        <w:t>service penetrations</w:t>
      </w:r>
    </w:p>
    <w:p w:rsidR="00000000" w:rsidRPr="006A6E3B" w:rsidP="006A6E3B">
      <w:pPr>
        <w:pStyle w:val="ListBullet3"/>
      </w:pPr>
      <w:r w:rsidRPr="006A6E3B">
        <w:t>timber framing:</w:t>
      </w:r>
    </w:p>
    <w:p w:rsidR="00000000" w:rsidRPr="006A6E3B" w:rsidP="006A6E3B">
      <w:pPr>
        <w:pStyle w:val="ListBullet4"/>
      </w:pPr>
      <w:r w:rsidRPr="006A6E3B">
        <w:t>high wind areas</w:t>
      </w:r>
    </w:p>
    <w:p w:rsidR="00000000" w:rsidRPr="006A6E3B" w:rsidP="006A6E3B">
      <w:pPr>
        <w:pStyle w:val="ListBullet4"/>
      </w:pPr>
      <w:r w:rsidRPr="006A6E3B">
        <w:t>specific requirements for use in conjunction with concrete floors, steel members and timber species scheduled for stru</w:t>
      </w:r>
      <w:r w:rsidRPr="006A6E3B">
        <w:t>ctural use</w:t>
      </w:r>
    </w:p>
    <w:p w:rsidR="00000000" w:rsidRPr="006A6E3B" w:rsidP="006A6E3B">
      <w:pPr>
        <w:pStyle w:val="ListBullet3"/>
      </w:pPr>
      <w:r w:rsidRPr="006A6E3B">
        <w:t>waterproofing.</w:t>
      </w:r>
    </w:p>
    <w:p w:rsidR="00000000" w:rsidRPr="006A6E3B" w:rsidP="006A6E3B">
      <w:pPr>
        <w:pStyle w:val="ListBullet"/>
      </w:pPr>
      <w:r w:rsidRPr="006A6E3B">
        <w:t>methods for determining site classification and design wind speed</w:t>
      </w:r>
    </w:p>
    <w:p w:rsidR="00000000" w:rsidRPr="006A6E3B" w:rsidP="006A6E3B">
      <w:pPr>
        <w:pStyle w:val="ListBullet"/>
      </w:pPr>
      <w:r w:rsidRPr="006A6E3B">
        <w:t>methods for identifying soil types and characteristics and effects on site stability including the potential for:</w:t>
      </w:r>
    </w:p>
    <w:p w:rsidR="00000000" w:rsidRPr="006A6E3B" w:rsidP="006A6E3B">
      <w:pPr>
        <w:pStyle w:val="ListBullet2"/>
      </w:pPr>
      <w:r w:rsidRPr="006A6E3B">
        <w:t>collapsing soil</w:t>
      </w:r>
    </w:p>
    <w:p w:rsidR="00000000" w:rsidRPr="006A6E3B" w:rsidP="006A6E3B">
      <w:pPr>
        <w:pStyle w:val="ListBullet2"/>
      </w:pPr>
      <w:r w:rsidRPr="006A6E3B">
        <w:t>ground movement due to moisture change</w:t>
      </w:r>
    </w:p>
    <w:p w:rsidR="00000000" w:rsidRPr="006A6E3B" w:rsidP="006A6E3B">
      <w:pPr>
        <w:pStyle w:val="ListBullet2"/>
      </w:pPr>
      <w:r w:rsidRPr="006A6E3B">
        <w:t>land slips</w:t>
      </w:r>
    </w:p>
    <w:p w:rsidR="00000000" w:rsidRPr="006A6E3B" w:rsidP="006A6E3B">
      <w:pPr>
        <w:pStyle w:val="ListBullet2"/>
      </w:pPr>
      <w:r w:rsidRPr="006A6E3B">
        <w:t>mine subsidence</w:t>
      </w:r>
    </w:p>
    <w:p w:rsidR="00000000" w:rsidRPr="006A6E3B" w:rsidP="006A6E3B">
      <w:pPr>
        <w:pStyle w:val="ListBullet2"/>
      </w:pPr>
      <w:r w:rsidRPr="006A6E3B">
        <w:t>soil erosion</w:t>
      </w:r>
    </w:p>
    <w:p w:rsidR="00000000" w:rsidRPr="006A6E3B" w:rsidP="006A6E3B">
      <w:pPr>
        <w:pStyle w:val="ListBullet"/>
      </w:pPr>
      <w:r w:rsidRPr="006A6E3B">
        <w:t>NCC classifications and definitions for Class 1 and 10 buildings:</w:t>
      </w:r>
    </w:p>
    <w:p w:rsidR="00000000" w:rsidRPr="006A6E3B" w:rsidP="006A6E3B">
      <w:pPr>
        <w:pStyle w:val="ListBullet2"/>
      </w:pPr>
      <w:r w:rsidRPr="006A6E3B">
        <w:t>building types</w:t>
      </w:r>
    </w:p>
    <w:p w:rsidR="00000000" w:rsidRPr="006A6E3B" w:rsidP="006A6E3B">
      <w:pPr>
        <w:pStyle w:val="ListBullet2"/>
      </w:pPr>
      <w:r w:rsidRPr="006A6E3B">
        <w:t>geographic and climate zones</w:t>
      </w:r>
    </w:p>
    <w:p w:rsidR="00000000" w:rsidRPr="006A6E3B" w:rsidP="006A6E3B">
      <w:pPr>
        <w:pStyle w:val="ListBullet"/>
      </w:pPr>
      <w:r w:rsidRPr="006A6E3B">
        <w:t>principles of negotiation and conflict resolution used to mainta</w:t>
      </w:r>
      <w:r w:rsidRPr="006A6E3B">
        <w:t>in professional relationships during building inspection and reporting processes</w:t>
      </w:r>
    </w:p>
    <w:p w:rsidR="00000000" w:rsidRPr="006A6E3B" w:rsidP="006A6E3B">
      <w:pPr>
        <w:pStyle w:val="ListBullet"/>
      </w:pPr>
      <w:r w:rsidRPr="006A6E3B">
        <w:t>workplace requirements for conducting and reporting on initial construction inspections of Class 1 and 10 buildings:</w:t>
      </w:r>
    </w:p>
    <w:p w:rsidR="00000000" w:rsidRPr="006A6E3B" w:rsidP="006A6E3B">
      <w:pPr>
        <w:pStyle w:val="ListBullet2"/>
      </w:pPr>
      <w:r w:rsidRPr="006A6E3B">
        <w:t>equipment, including personal protective equipment (PPE)</w:t>
      </w:r>
    </w:p>
    <w:p w:rsidR="00000000" w:rsidRPr="006A6E3B" w:rsidP="006A6E3B">
      <w:pPr>
        <w:pStyle w:val="ListBullet2"/>
      </w:pPr>
      <w:r w:rsidRPr="006A6E3B">
        <w:t>reporting</w:t>
      </w:r>
    </w:p>
    <w:p w:rsidR="00000000" w:rsidRPr="006A6E3B" w:rsidP="006A6E3B">
      <w:pPr>
        <w:pStyle w:val="ListBullet2"/>
      </w:pPr>
      <w:r w:rsidRPr="006A6E3B">
        <w:t>work health and safety (WHS).</w:t>
      </w:r>
    </w:p>
    <w:p w:rsidR="00000000" w:rsidRPr="006A6E3B" w:rsidP="006A6E3B">
      <w:pPr>
        <w:pStyle w:val="AllowPageBreak"/>
      </w:pPr>
    </w:p>
    <w:p w:rsidR="00000000" w:rsidRPr="006A6E3B" w:rsidP="006A6E3B">
      <w:pPr>
        <w:pStyle w:val="Heading1"/>
      </w:pPr>
      <w:bookmarkStart w:id="4" w:name="O_1144021"/>
      <w:bookmarkEnd w:id="4"/>
      <w:r w:rsidRPr="006A6E3B">
        <w:t>Assessment Conditions</w:t>
      </w:r>
    </w:p>
    <w:p w:rsidR="00000000" w:rsidRPr="006A6E3B" w:rsidP="00977EAE">
      <w:pPr>
        <w:pStyle w:val="BodyText"/>
      </w:pPr>
      <w:r w:rsidRPr="006A6E3B">
        <w:t xml:space="preserve">Assessors must meet the requirements for assessors contained in the Standards for Registered Training Organisations. </w:t>
      </w:r>
    </w:p>
    <w:p w:rsidR="00000000" w:rsidRPr="006A6E3B" w:rsidP="00977EAE">
      <w:pPr>
        <w:pStyle w:val="BodyText"/>
      </w:pPr>
      <w:r w:rsidRPr="006A6E3B">
        <w:t>Assessors must also:</w:t>
      </w:r>
    </w:p>
    <w:p w:rsidR="00000000" w:rsidRPr="006A6E3B" w:rsidP="006A6E3B">
      <w:pPr>
        <w:pStyle w:val="ListBullet"/>
      </w:pPr>
      <w:r w:rsidRPr="006A6E3B">
        <w:t>be licensed as a Building Surveyor Level 1 (or equivalent) or Level 2 (or equivalent) in their state or territory, or</w:t>
      </w:r>
    </w:p>
    <w:p w:rsidR="00000000" w:rsidRPr="006A6E3B" w:rsidP="006A6E3B">
      <w:pPr>
        <w:pStyle w:val="ListBullet"/>
      </w:pPr>
      <w:r w:rsidRPr="006A6E3B">
        <w:t>demonstrate current membership of a relevant industry association and have current registration on the National Building Professionals Reg</w:t>
      </w:r>
      <w:r w:rsidRPr="006A6E3B">
        <w:t>ister in the Building Industry Control category (level 1), or</w:t>
      </w:r>
    </w:p>
    <w:p w:rsidR="00000000" w:rsidRPr="006A6E3B" w:rsidP="006A6E3B">
      <w:pPr>
        <w:pStyle w:val="ListBullet"/>
      </w:pPr>
      <w:r w:rsidRPr="006A6E3B">
        <w:t xml:space="preserve">be accredited under the Australian Institute of Building Surveyors (AIBS) National Accreditation Scheme at Building Surveyor level or be accredited by the Royal Institute of Chartered Surveyors </w:t>
      </w:r>
      <w:r w:rsidRPr="006A6E3B">
        <w:t>as a building certifier.</w:t>
      </w:r>
    </w:p>
    <w:p w:rsidR="00000000" w:rsidRPr="006A6E3B" w:rsidP="00977EAE">
      <w:pPr>
        <w:pStyle w:val="BodyText"/>
      </w:pPr>
      <w:r w:rsidRPr="006A6E3B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A6E3B" w:rsidP="00977EAE">
      <w:pPr>
        <w:pStyle w:val="BodyText"/>
      </w:pPr>
      <w:r w:rsidRPr="006A6E3B">
        <w:t>Candidates must have acce</w:t>
      </w:r>
      <w:r w:rsidRPr="006A6E3B">
        <w:t>ss to buildings, equipment, software, drawings, documentation and materials required to achieve the performance evidence.</w:t>
      </w:r>
    </w:p>
    <w:p w:rsidR="00000000" w:rsidRPr="006A6E3B" w:rsidP="006A6E3B">
      <w:pPr>
        <w:pStyle w:val="Heading1"/>
      </w:pPr>
      <w:bookmarkStart w:id="5" w:name="O_1144019"/>
      <w:bookmarkEnd w:id="5"/>
      <w:r w:rsidRPr="006A6E3B">
        <w:t>Links</w:t>
      </w:r>
    </w:p>
    <w:p w:rsidR="00000000" w:rsidRPr="006A6E3B" w:rsidP="00977EAE">
      <w:pPr>
        <w:pStyle w:val="BodyText"/>
      </w:pPr>
      <w:r w:rsidRPr="006A6E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4580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A6E3B" w:rsidP="006A6E3B"/>
    <w:sectPr w:rsidSect="006A6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3B" w:rsidRPr="00977EAE" w:rsidP="00977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AE" w:rsidP="006A6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EAE" w:rsidP="006A6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7EAE" w:rsidP="006A6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E3B" w:rsidRPr="00977EAE" w:rsidP="00977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EAE" w:rsidRPr="002D2AF8" w:rsidP="006A6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CPCCBS6112 Conduct and report on initial construction inspections of Class 1 and 10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7EAE" w:rsidP="006A6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8C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F6D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02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E3B"/>
  </w:style>
  <w:style w:type="character" w:customStyle="1" w:styleId="Heading1Char">
    <w:name w:val="Heading 1 Char"/>
    <w:basedOn w:val="DefaultParagraphFont"/>
    <w:link w:val="Heading1"/>
    <w:rsid w:val="006A6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E3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6E3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6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6E3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E3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A6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6E3B"/>
    <w:rPr>
      <w:b/>
      <w:spacing w:val="0"/>
    </w:rPr>
  </w:style>
  <w:style w:type="paragraph" w:customStyle="1" w:styleId="SuperTitle">
    <w:name w:val="SuperTitle"/>
    <w:basedOn w:val="Title"/>
    <w:rsid w:val="006A6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6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E3B"/>
    <w:rPr>
      <w:i/>
    </w:rPr>
  </w:style>
  <w:style w:type="paragraph" w:styleId="Caption">
    <w:name w:val="caption"/>
    <w:basedOn w:val="BodyText"/>
    <w:next w:val="Normal"/>
    <w:qFormat/>
    <w:rsid w:val="006A6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E3B"/>
  </w:style>
  <w:style w:type="paragraph" w:styleId="TableofFigures">
    <w:name w:val="table of figures"/>
    <w:basedOn w:val="Normal"/>
    <w:next w:val="Normal"/>
    <w:semiHidden/>
    <w:rsid w:val="006A6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E3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A6E3B"/>
    <w:rPr>
      <w:rFonts w:ascii="Wingdings" w:hAnsi="Wingdings"/>
    </w:rPr>
  </w:style>
  <w:style w:type="paragraph" w:customStyle="1" w:styleId="TableHeading">
    <w:name w:val="Table Heading"/>
    <w:basedOn w:val="HeadingBase"/>
    <w:rsid w:val="006A6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E3B"/>
    <w:rPr>
      <w:color w:val="0033CC"/>
      <w:u w:val="none"/>
    </w:rPr>
  </w:style>
  <w:style w:type="paragraph" w:customStyle="1" w:styleId="BodyTextRight">
    <w:name w:val="Body Text Right"/>
    <w:basedOn w:val="BodyText"/>
    <w:rsid w:val="006A6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E3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E3B"/>
    <w:rPr>
      <w:sz w:val="32"/>
    </w:rPr>
  </w:style>
  <w:style w:type="paragraph" w:customStyle="1" w:styleId="HeadingProcedure">
    <w:name w:val="Heading Procedure"/>
    <w:basedOn w:val="HeadingBase"/>
    <w:next w:val="Normal"/>
    <w:rsid w:val="006A6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E3B"/>
    <w:pPr>
      <w:spacing w:before="60" w:after="60"/>
    </w:pPr>
  </w:style>
  <w:style w:type="paragraph" w:styleId="ListContinue">
    <w:name w:val="List Continue"/>
    <w:basedOn w:val="List"/>
    <w:rsid w:val="006A6E3B"/>
    <w:pPr>
      <w:ind w:firstLine="0"/>
    </w:pPr>
  </w:style>
  <w:style w:type="paragraph" w:customStyle="1" w:styleId="ListNote">
    <w:name w:val="List Note"/>
    <w:basedOn w:val="List"/>
    <w:rsid w:val="006A6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E3B"/>
    <w:rPr>
      <w:rFonts w:ascii="Courier New" w:hAnsi="Courier New"/>
    </w:rPr>
  </w:style>
  <w:style w:type="paragraph" w:customStyle="1" w:styleId="NoteBullet">
    <w:name w:val="Note Bullet"/>
    <w:basedOn w:val="Note"/>
    <w:rsid w:val="006A6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E3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A6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E3B"/>
    <w:rPr>
      <w:b/>
      <w:smallCaps/>
    </w:rPr>
  </w:style>
  <w:style w:type="paragraph" w:customStyle="1" w:styleId="TableListNumber">
    <w:name w:val="Table List Number"/>
    <w:basedOn w:val="ListNumber"/>
    <w:rsid w:val="006A6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E3B"/>
    <w:pPr>
      <w:numPr>
        <w:numId w:val="11"/>
      </w:numPr>
    </w:pPr>
  </w:style>
  <w:style w:type="paragraph" w:customStyle="1" w:styleId="ListAlpha2">
    <w:name w:val="List Alpha 2"/>
    <w:basedOn w:val="List2"/>
    <w:rsid w:val="006A6E3B"/>
    <w:pPr>
      <w:numPr>
        <w:numId w:val="10"/>
      </w:numPr>
    </w:pPr>
  </w:style>
  <w:style w:type="paragraph" w:styleId="List2">
    <w:name w:val="List 2"/>
    <w:basedOn w:val="BodyText"/>
    <w:rsid w:val="006A6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E3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A6E3B"/>
    <w:pPr>
      <w:numPr>
        <w:numId w:val="6"/>
      </w:numPr>
    </w:pPr>
  </w:style>
  <w:style w:type="paragraph" w:styleId="ListContinue2">
    <w:name w:val="List Continue 2"/>
    <w:basedOn w:val="List2"/>
    <w:rsid w:val="006A6E3B"/>
    <w:pPr>
      <w:ind w:firstLine="0"/>
    </w:pPr>
  </w:style>
  <w:style w:type="paragraph" w:styleId="ListContinue3">
    <w:name w:val="List Continue 3"/>
    <w:basedOn w:val="List3"/>
    <w:rsid w:val="006A6E3B"/>
    <w:pPr>
      <w:ind w:left="1021" w:firstLine="0"/>
    </w:pPr>
  </w:style>
  <w:style w:type="paragraph" w:styleId="ListContinue4">
    <w:name w:val="List Continue 4"/>
    <w:basedOn w:val="List4"/>
    <w:rsid w:val="006A6E3B"/>
    <w:pPr>
      <w:ind w:firstLine="0"/>
    </w:pPr>
  </w:style>
  <w:style w:type="paragraph" w:styleId="ListContinue5">
    <w:name w:val="List Continue 5"/>
    <w:basedOn w:val="List5"/>
    <w:rsid w:val="006A6E3B"/>
    <w:pPr>
      <w:ind w:firstLine="0"/>
    </w:pPr>
  </w:style>
  <w:style w:type="paragraph" w:styleId="ListNumber3">
    <w:name w:val="List Number 3"/>
    <w:basedOn w:val="List3"/>
    <w:rsid w:val="006A6E3B"/>
    <w:pPr>
      <w:numPr>
        <w:numId w:val="7"/>
      </w:numPr>
    </w:pPr>
  </w:style>
  <w:style w:type="paragraph" w:styleId="ListNumber4">
    <w:name w:val="List Number 4"/>
    <w:basedOn w:val="List4"/>
    <w:rsid w:val="006A6E3B"/>
    <w:pPr>
      <w:numPr>
        <w:numId w:val="8"/>
      </w:numPr>
    </w:pPr>
  </w:style>
  <w:style w:type="paragraph" w:styleId="ListNumber5">
    <w:name w:val="List Number 5"/>
    <w:basedOn w:val="List5"/>
    <w:rsid w:val="006A6E3B"/>
    <w:pPr>
      <w:numPr>
        <w:numId w:val="9"/>
      </w:numPr>
    </w:pPr>
  </w:style>
  <w:style w:type="paragraph" w:styleId="BlockText">
    <w:name w:val="Block Text"/>
    <w:basedOn w:val="Normal"/>
    <w:rsid w:val="006A6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E3B"/>
    <w:rPr>
      <w:sz w:val="16"/>
      <w:vertAlign w:val="superscript"/>
    </w:rPr>
  </w:style>
  <w:style w:type="character" w:customStyle="1" w:styleId="Symbols">
    <w:name w:val="Symbols"/>
    <w:basedOn w:val="DefaultParagraphFont"/>
    <w:rsid w:val="006A6E3B"/>
    <w:rPr>
      <w:rFonts w:ascii="Symbol" w:hAnsi="Symbol"/>
    </w:rPr>
  </w:style>
  <w:style w:type="character" w:customStyle="1" w:styleId="MenuOptions">
    <w:name w:val="Menu Options"/>
    <w:basedOn w:val="DefaultParagraphFont"/>
    <w:rsid w:val="006A6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E3B"/>
    <w:rPr>
      <w:b/>
    </w:rPr>
  </w:style>
  <w:style w:type="character" w:customStyle="1" w:styleId="Underlined">
    <w:name w:val="Underlined"/>
    <w:basedOn w:val="DefaultParagraphFont"/>
    <w:rsid w:val="006A6E3B"/>
    <w:rPr>
      <w:u w:val="single"/>
    </w:rPr>
  </w:style>
  <w:style w:type="paragraph" w:customStyle="1" w:styleId="TableBodyTextRight">
    <w:name w:val="Table Body Text Right"/>
    <w:basedOn w:val="TableBodyText"/>
    <w:rsid w:val="006A6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E3B"/>
    <w:rPr>
      <w:sz w:val="18"/>
    </w:rPr>
  </w:style>
  <w:style w:type="paragraph" w:customStyle="1" w:styleId="BodySmallRight">
    <w:name w:val="Body Small Right"/>
    <w:basedOn w:val="BodyTextRight"/>
    <w:rsid w:val="006A6E3B"/>
    <w:rPr>
      <w:sz w:val="18"/>
      <w:szCs w:val="18"/>
    </w:rPr>
  </w:style>
  <w:style w:type="paragraph" w:customStyle="1" w:styleId="MarginEdition">
    <w:name w:val="Margin Edition"/>
    <w:basedOn w:val="MarginNote"/>
    <w:rsid w:val="006A6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E3B"/>
    <w:rPr>
      <w:sz w:val="2"/>
      <w:szCs w:val="2"/>
    </w:rPr>
  </w:style>
  <w:style w:type="character" w:customStyle="1" w:styleId="Small">
    <w:name w:val="Small"/>
    <w:basedOn w:val="DefaultParagraphFont"/>
    <w:rsid w:val="006A6E3B"/>
    <w:rPr>
      <w:sz w:val="16"/>
    </w:rPr>
  </w:style>
  <w:style w:type="paragraph" w:customStyle="1" w:styleId="WideTable">
    <w:name w:val="Wide Table"/>
    <w:basedOn w:val="Normal"/>
    <w:rsid w:val="006A6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E3B"/>
  </w:style>
  <w:style w:type="paragraph" w:styleId="Quote">
    <w:name w:val="Quote"/>
    <w:basedOn w:val="Heading1"/>
    <w:link w:val="QuoteChar"/>
    <w:qFormat/>
    <w:rsid w:val="006A6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E3B"/>
    <w:pPr>
      <w:pageBreakBefore/>
    </w:pPr>
  </w:style>
  <w:style w:type="paragraph" w:customStyle="1" w:styleId="Border">
    <w:name w:val="Border"/>
    <w:basedOn w:val="Normal"/>
    <w:qFormat/>
    <w:rsid w:val="006A6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E3B"/>
    <w:rPr>
      <w:u w:val="single"/>
    </w:rPr>
  </w:style>
  <w:style w:type="character" w:customStyle="1" w:styleId="BoldandItalics">
    <w:name w:val="Bold and Italics"/>
    <w:qFormat/>
    <w:rsid w:val="006A6E3B"/>
    <w:rPr>
      <w:b/>
      <w:i/>
      <w:u w:val="none"/>
    </w:rPr>
  </w:style>
  <w:style w:type="paragraph" w:styleId="BalloonText">
    <w:name w:val="Balloon Text"/>
    <w:basedOn w:val="Normal"/>
    <w:link w:val="BalloonTextChar"/>
    <w:rsid w:val="006A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E3B"/>
    <w:pPr>
      <w:spacing w:before="0" w:after="0"/>
    </w:pPr>
  </w:style>
  <w:style w:type="paragraph" w:customStyle="1" w:styleId="BodyTextBold">
    <w:name w:val="Body Text Bold"/>
    <w:basedOn w:val="BodyText"/>
    <w:qFormat/>
    <w:rsid w:val="006A6E3B"/>
    <w:rPr>
      <w:b/>
    </w:rPr>
  </w:style>
  <w:style w:type="character" w:styleId="Hyperlink">
    <w:name w:val="Hyperlink"/>
    <w:basedOn w:val="DefaultParagraphFont"/>
    <w:uiPriority w:val="99"/>
    <w:unhideWhenUsed/>
    <w:rsid w:val="00977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3627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CPCCBS6112 Conduct and report on initial construction inspections of Class 1 and 10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