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AC2" w:rsidP="006F4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CPCCBS6109 Process building applications for Class 2 to 9 buildings to three storeys</w:t>
      </w:r>
      <w:r>
        <w:fldChar w:fldCharType="end"/>
      </w:r>
    </w:p>
    <w:p w:rsidR="006F4AC2" w:rsidP="006F4AC2">
      <w:pPr>
        <w:pStyle w:val="Version"/>
        <w:sectPr w:rsidSect="004E0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D0F" w:rsidP="004E0D0F">
      <w:pPr>
        <w:pStyle w:val="SuperHeading"/>
      </w:pPr>
      <w:r w:rsidRPr="004E0D0F">
        <w:t>Assessment Requirements for CPCCBS6109 Process building applications for Class 2 to 9 buildings to three storeys</w:t>
      </w:r>
    </w:p>
    <w:p w:rsidR="00000000" w:rsidRPr="004E0D0F" w:rsidP="004E0D0F">
      <w:pPr>
        <w:pStyle w:val="Heading1"/>
      </w:pPr>
      <w:bookmarkStart w:id="1" w:name="O_1143897"/>
      <w:bookmarkEnd w:id="1"/>
      <w:r w:rsidRPr="004E0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4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0F">
            <w:pPr>
              <w:pStyle w:val="BodyText"/>
              <w:rPr>
                <w:lang w:val="en-NZ"/>
              </w:rPr>
            </w:pPr>
            <w:r w:rsidRPr="004E0D0F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0F" w:rsidP="004E0D0F">
            <w:pPr>
              <w:pStyle w:val="BodyText"/>
            </w:pPr>
            <w:r w:rsidRPr="004E0D0F">
              <w:t>This version first released with CPC Construction, Plumbing and Services Training Package Release 6.0.</w:t>
            </w:r>
          </w:p>
          <w:p w:rsidR="00000000" w:rsidRPr="004E0D0F" w:rsidP="004E0D0F">
            <w:pPr>
              <w:pStyle w:val="BodyText"/>
            </w:pPr>
            <w:r w:rsidRPr="004E0D0F">
              <w:t>Supersedes and is not equivalent to CPCCBS6009 Process building applications for commercial buildings up to three storeys.</w:t>
            </w:r>
          </w:p>
          <w:p w:rsidR="00000000" w:rsidRPr="004E0D0F" w:rsidP="004E0D0F">
            <w:pPr>
              <w:pStyle w:val="BodyText"/>
            </w:pPr>
            <w:r w:rsidRPr="004E0D0F">
              <w:t>New prerequisite requirement.</w:t>
            </w:r>
          </w:p>
        </w:tc>
      </w:tr>
    </w:tbl>
    <w:p w:rsidR="00000000" w:rsidRPr="004E0D0F" w:rsidP="004E0D0F">
      <w:pPr>
        <w:pStyle w:val="BodyText"/>
      </w:pPr>
    </w:p>
    <w:p w:rsidR="00000000" w:rsidRPr="004E0D0F" w:rsidP="004E0D0F">
      <w:pPr>
        <w:pStyle w:val="AllowPageBreak"/>
      </w:pPr>
    </w:p>
    <w:p w:rsidR="00000000" w:rsidRPr="004E0D0F" w:rsidP="004E0D0F">
      <w:pPr>
        <w:pStyle w:val="Heading1"/>
      </w:pPr>
      <w:bookmarkStart w:id="2" w:name="O_1143900"/>
      <w:bookmarkEnd w:id="2"/>
      <w:r w:rsidRPr="004E0D0F">
        <w:t>Performance Evidence</w:t>
      </w:r>
    </w:p>
    <w:p w:rsidR="00000000" w:rsidRPr="004E0D0F" w:rsidP="006F4AC2">
      <w:pPr>
        <w:pStyle w:val="BodyText"/>
      </w:pPr>
      <w:r w:rsidRPr="004E0D0F">
        <w:t>To demonstrate competency, a candidate must meet the performance criteria of this unit by processing building applications for three different projects involving the following Classes of buildings as defined by the</w:t>
      </w:r>
      <w:r w:rsidRPr="004E0D0F">
        <w:t xml:space="preserve"> National Construction Code (NCC):</w:t>
      </w:r>
    </w:p>
    <w:p w:rsidR="00000000" w:rsidRPr="004E0D0F" w:rsidP="004E0D0F">
      <w:pPr>
        <w:pStyle w:val="ListBullet"/>
      </w:pPr>
      <w:r w:rsidRPr="004E0D0F">
        <w:t xml:space="preserve">one project incorporating Class 5 or Class 6 </w:t>
      </w:r>
    </w:p>
    <w:p w:rsidR="00000000" w:rsidRPr="004E0D0F" w:rsidP="004E0D0F">
      <w:pPr>
        <w:pStyle w:val="ListBullet"/>
      </w:pPr>
      <w:r w:rsidRPr="004E0D0F">
        <w:t xml:space="preserve">one project incorporating Class 2 or Class 3 or Class 9c </w:t>
      </w:r>
    </w:p>
    <w:p w:rsidR="00000000" w:rsidRPr="004E0D0F" w:rsidP="004E0D0F">
      <w:pPr>
        <w:pStyle w:val="ListBullet"/>
      </w:pPr>
      <w:r w:rsidRPr="004E0D0F">
        <w:t>one project incorporating Class 7 or Class 8.</w:t>
      </w:r>
    </w:p>
    <w:p w:rsidR="00000000" w:rsidRPr="004E0D0F" w:rsidP="006F4AC2">
      <w:pPr>
        <w:pStyle w:val="BodyText"/>
      </w:pPr>
      <w:r w:rsidRPr="004E0D0F">
        <w:t>Each building must be up to three storeys and not exceeding 2,000 square metres in floor area, and in a different geographical location as defined by the NCC.</w:t>
      </w:r>
    </w:p>
    <w:p w:rsidR="00000000" w:rsidRPr="004E0D0F" w:rsidP="004E0D0F">
      <w:pPr>
        <w:pStyle w:val="Heading1"/>
      </w:pPr>
      <w:bookmarkStart w:id="3" w:name="O_1143899"/>
      <w:bookmarkEnd w:id="3"/>
      <w:r w:rsidRPr="004E0D0F">
        <w:t>Knowledge Evidence</w:t>
      </w:r>
    </w:p>
    <w:p w:rsidR="00000000" w:rsidRPr="004E0D0F" w:rsidP="006F4AC2">
      <w:pPr>
        <w:pStyle w:val="BodyText"/>
      </w:pPr>
      <w:r w:rsidRPr="004E0D0F">
        <w:t xml:space="preserve">To be competent in this unit, a candidate must demonstrate </w:t>
      </w:r>
      <w:r w:rsidRPr="004E0D0F">
        <w:t>knowledge of:</w:t>
      </w:r>
    </w:p>
    <w:p w:rsidR="00000000" w:rsidRPr="004E0D0F" w:rsidP="004E0D0F">
      <w:pPr>
        <w:pStyle w:val="ListBullet"/>
      </w:pPr>
      <w:r w:rsidRPr="004E0D0F">
        <w:t>building permit processes and submission requirements</w:t>
      </w:r>
    </w:p>
    <w:p w:rsidR="00000000" w:rsidRPr="004E0D0F" w:rsidP="004E0D0F">
      <w:pPr>
        <w:pStyle w:val="ListBullet"/>
      </w:pPr>
      <w:r w:rsidRPr="004E0D0F">
        <w:t>legislative and local planning and building requirements governing the issuing of building approval permits in the jurisdictions relevant to each building specified in the performance evi</w:t>
      </w:r>
      <w:r w:rsidRPr="004E0D0F">
        <w:t>dence</w:t>
      </w:r>
    </w:p>
    <w:p w:rsidR="00000000" w:rsidRPr="004E0D0F" w:rsidP="004E0D0F">
      <w:pPr>
        <w:pStyle w:val="ListBullet"/>
      </w:pPr>
      <w:r w:rsidRPr="004E0D0F">
        <w:t>legislative roles and responsibilities of those issuing building permits in the relevant jurisdiction</w:t>
      </w:r>
    </w:p>
    <w:p w:rsidR="00000000" w:rsidRPr="004E0D0F" w:rsidP="004E0D0F">
      <w:pPr>
        <w:pStyle w:val="ListBullet"/>
      </w:pPr>
      <w:r w:rsidRPr="004E0D0F">
        <w:t>NCC classifications and definitions for buildings included in Classes 2 to 9:</w:t>
      </w:r>
    </w:p>
    <w:p w:rsidR="00000000" w:rsidRPr="004E0D0F" w:rsidP="004E0D0F">
      <w:pPr>
        <w:pStyle w:val="ListBullet2"/>
      </w:pPr>
      <w:r w:rsidRPr="004E0D0F">
        <w:t>building types</w:t>
      </w:r>
    </w:p>
    <w:p w:rsidR="00000000" w:rsidRPr="004E0D0F" w:rsidP="004E0D0F">
      <w:pPr>
        <w:pStyle w:val="ListBullet2"/>
      </w:pPr>
      <w:r w:rsidRPr="004E0D0F">
        <w:t>geographic and climate zones</w:t>
      </w:r>
    </w:p>
    <w:p w:rsidR="00000000" w:rsidRPr="004E0D0F" w:rsidP="004E0D0F">
      <w:pPr>
        <w:pStyle w:val="ListBullet"/>
      </w:pPr>
      <w:r w:rsidRPr="004E0D0F">
        <w:t>processes for seeking an</w:t>
      </w:r>
      <w:r w:rsidRPr="004E0D0F">
        <w:t>d obtaining approval or consent from service authorities</w:t>
      </w:r>
    </w:p>
    <w:p w:rsidR="00000000" w:rsidRPr="004E0D0F" w:rsidP="004E0D0F">
      <w:pPr>
        <w:pStyle w:val="ListBullet"/>
      </w:pPr>
      <w:r w:rsidRPr="004E0D0F">
        <w:t>types of disciplines from which specialist advice may be sought</w:t>
      </w:r>
    </w:p>
    <w:p w:rsidR="00000000" w:rsidRPr="004E0D0F" w:rsidP="004E0D0F">
      <w:pPr>
        <w:pStyle w:val="ListBullet"/>
      </w:pPr>
      <w:r w:rsidRPr="004E0D0F">
        <w:t>types of plans and documentation submitted as part of building applications for buildings included in Classes 2 to 9:</w:t>
      </w:r>
    </w:p>
    <w:p w:rsidR="00000000" w:rsidRPr="004E0D0F" w:rsidP="004E0D0F">
      <w:pPr>
        <w:pStyle w:val="ListBullet2"/>
      </w:pPr>
      <w:r w:rsidRPr="004E0D0F">
        <w:t>building approval application form</w:t>
      </w:r>
    </w:p>
    <w:p w:rsidR="00000000" w:rsidRPr="004E0D0F" w:rsidP="004E0D0F">
      <w:pPr>
        <w:pStyle w:val="ListBullet2"/>
      </w:pPr>
      <w:r w:rsidRPr="004E0D0F">
        <w:t>concept drawings to scale, with relevant calculations, levels, notes and specifications</w:t>
      </w:r>
    </w:p>
    <w:p w:rsidR="00000000" w:rsidRPr="004E0D0F" w:rsidP="004E0D0F">
      <w:pPr>
        <w:pStyle w:val="ListBullet2"/>
      </w:pPr>
      <w:r w:rsidRPr="004E0D0F">
        <w:t>documentation applicable to or as specified by the local authority</w:t>
      </w:r>
    </w:p>
    <w:p w:rsidR="00000000" w:rsidRPr="004E0D0F" w:rsidP="004E0D0F">
      <w:pPr>
        <w:pStyle w:val="ListBullet2"/>
      </w:pPr>
      <w:r w:rsidRPr="004E0D0F">
        <w:t>proof of building site ownership.</w:t>
      </w:r>
    </w:p>
    <w:p w:rsidR="00000000" w:rsidRPr="004E0D0F" w:rsidP="004E0D0F">
      <w:pPr>
        <w:pStyle w:val="AllowPageBreak"/>
      </w:pPr>
    </w:p>
    <w:p w:rsidR="00000000" w:rsidRPr="004E0D0F" w:rsidP="004E0D0F">
      <w:pPr>
        <w:pStyle w:val="Heading1"/>
      </w:pPr>
      <w:bookmarkStart w:id="4" w:name="O_1143898"/>
      <w:bookmarkEnd w:id="4"/>
      <w:r w:rsidRPr="004E0D0F">
        <w:t>Assessment Co</w:t>
      </w:r>
      <w:r w:rsidRPr="004E0D0F">
        <w:t>nditions</w:t>
      </w:r>
    </w:p>
    <w:p w:rsidR="00000000" w:rsidRPr="004E0D0F" w:rsidP="006F4AC2">
      <w:pPr>
        <w:pStyle w:val="BodyText"/>
      </w:pPr>
      <w:r w:rsidRPr="004E0D0F">
        <w:t xml:space="preserve">Assessors must meet the requirements for assessors contained in the Standards for Registered Training Organisations. </w:t>
      </w:r>
    </w:p>
    <w:p w:rsidR="00000000" w:rsidRPr="004E0D0F" w:rsidP="006F4AC2">
      <w:pPr>
        <w:pStyle w:val="BodyText"/>
      </w:pPr>
      <w:r w:rsidRPr="004E0D0F">
        <w:t>Assessors must also:</w:t>
      </w:r>
    </w:p>
    <w:p w:rsidR="00000000" w:rsidRPr="004E0D0F" w:rsidP="004E0D0F">
      <w:pPr>
        <w:pStyle w:val="ListBullet"/>
      </w:pPr>
      <w:r w:rsidRPr="004E0D0F">
        <w:t>be licensed as a Building Surveyor Level 1 (or equivalent) or Level 2 (or equivalent) in their state or ter</w:t>
      </w:r>
      <w:r w:rsidRPr="004E0D0F">
        <w:t>ritory, or</w:t>
      </w:r>
    </w:p>
    <w:p w:rsidR="00000000" w:rsidRPr="004E0D0F" w:rsidP="004E0D0F">
      <w:pPr>
        <w:pStyle w:val="ListBullet"/>
      </w:pPr>
      <w:r w:rsidRPr="004E0D0F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4E0D0F" w:rsidP="004E0D0F">
      <w:pPr>
        <w:pStyle w:val="ListBullet"/>
      </w:pPr>
      <w:r w:rsidRPr="004E0D0F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4E0D0F" w:rsidP="006F4AC2">
      <w:pPr>
        <w:pStyle w:val="BodyText"/>
      </w:pPr>
      <w:r w:rsidRPr="004E0D0F">
        <w:t>Assessment must be conducted in the w</w:t>
      </w:r>
      <w:r w:rsidRPr="004E0D0F">
        <w:t>orkplace or a simulated workplace using realistic conditions, materials, activities, responsibilities, procedures, safety requirements and environmental considerations. Submission of building permits to local authorities may be simulated.</w:t>
      </w:r>
    </w:p>
    <w:p w:rsidR="00000000" w:rsidRPr="004E0D0F" w:rsidP="006F4AC2">
      <w:pPr>
        <w:pStyle w:val="BodyText"/>
      </w:pPr>
      <w:r w:rsidRPr="004E0D0F">
        <w:t>Candidates must h</w:t>
      </w:r>
      <w:r w:rsidRPr="004E0D0F">
        <w:t>ave access to equipment, software, drawings, documentation and materials required to achieve the performance evidence.</w:t>
      </w:r>
    </w:p>
    <w:p w:rsidR="00000000" w:rsidRPr="004E0D0F" w:rsidP="004E0D0F">
      <w:pPr>
        <w:pStyle w:val="Heading1"/>
      </w:pPr>
      <w:bookmarkStart w:id="5" w:name="O_1143896"/>
      <w:bookmarkEnd w:id="5"/>
      <w:r w:rsidRPr="004E0D0F">
        <w:t>Links</w:t>
      </w:r>
    </w:p>
    <w:p w:rsidR="00000000" w:rsidRPr="004E0D0F" w:rsidP="006F4AC2">
      <w:pPr>
        <w:pStyle w:val="BodyText"/>
      </w:pPr>
      <w:r w:rsidRPr="004E0D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054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E0D0F" w:rsidP="004E0D0F"/>
    <w:sectPr w:rsidSect="004E0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0F" w:rsidRPr="006F4AC2" w:rsidP="006F4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C2" w:rsidP="004E0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AC2" w:rsidP="004E0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4AC2" w:rsidP="004E0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D0F" w:rsidRPr="006F4AC2" w:rsidP="006F4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C2" w:rsidRPr="002D2AF8" w:rsidP="004E0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CPCCBS6109 Process building applications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F4AC2" w:rsidP="004E0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A4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AA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402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D0F"/>
  </w:style>
  <w:style w:type="character" w:customStyle="1" w:styleId="Heading1Char">
    <w:name w:val="Heading 1 Char"/>
    <w:basedOn w:val="DefaultParagraphFont"/>
    <w:link w:val="Heading1"/>
    <w:rsid w:val="004E0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D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0D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D0F"/>
    <w:rPr>
      <w:b/>
      <w:spacing w:val="0"/>
    </w:rPr>
  </w:style>
  <w:style w:type="paragraph" w:customStyle="1" w:styleId="SuperTitle">
    <w:name w:val="SuperTitle"/>
    <w:basedOn w:val="Title"/>
    <w:rsid w:val="004E0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D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D0F"/>
    <w:rPr>
      <w:i/>
    </w:rPr>
  </w:style>
  <w:style w:type="paragraph" w:styleId="Caption">
    <w:name w:val="caption"/>
    <w:basedOn w:val="BodyText"/>
    <w:next w:val="Normal"/>
    <w:qFormat/>
    <w:rsid w:val="004E0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D0F"/>
  </w:style>
  <w:style w:type="paragraph" w:styleId="TableofFigures">
    <w:name w:val="table of figures"/>
    <w:basedOn w:val="Normal"/>
    <w:next w:val="Normal"/>
    <w:semiHidden/>
    <w:rsid w:val="004E0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D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D0F"/>
    <w:rPr>
      <w:rFonts w:ascii="Wingdings" w:hAnsi="Wingdings"/>
    </w:rPr>
  </w:style>
  <w:style w:type="paragraph" w:customStyle="1" w:styleId="TableHeading">
    <w:name w:val="Table Heading"/>
    <w:basedOn w:val="HeadingBase"/>
    <w:rsid w:val="004E0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D0F"/>
    <w:rPr>
      <w:color w:val="0033CC"/>
      <w:u w:val="none"/>
    </w:rPr>
  </w:style>
  <w:style w:type="paragraph" w:customStyle="1" w:styleId="BodyTextRight">
    <w:name w:val="Body Text Right"/>
    <w:basedOn w:val="BodyText"/>
    <w:rsid w:val="004E0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D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D0F"/>
    <w:rPr>
      <w:sz w:val="32"/>
    </w:rPr>
  </w:style>
  <w:style w:type="paragraph" w:customStyle="1" w:styleId="HeadingProcedure">
    <w:name w:val="Heading Procedure"/>
    <w:basedOn w:val="HeadingBase"/>
    <w:next w:val="Normal"/>
    <w:rsid w:val="004E0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D0F"/>
    <w:pPr>
      <w:spacing w:before="60" w:after="60"/>
    </w:pPr>
  </w:style>
  <w:style w:type="paragraph" w:styleId="ListContinue">
    <w:name w:val="List Continue"/>
    <w:basedOn w:val="List"/>
    <w:rsid w:val="004E0D0F"/>
    <w:pPr>
      <w:ind w:firstLine="0"/>
    </w:pPr>
  </w:style>
  <w:style w:type="paragraph" w:customStyle="1" w:styleId="ListNote">
    <w:name w:val="List Note"/>
    <w:basedOn w:val="List"/>
    <w:rsid w:val="004E0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D0F"/>
    <w:rPr>
      <w:rFonts w:ascii="Courier New" w:hAnsi="Courier New"/>
    </w:rPr>
  </w:style>
  <w:style w:type="paragraph" w:customStyle="1" w:styleId="NoteBullet">
    <w:name w:val="Note Bullet"/>
    <w:basedOn w:val="Note"/>
    <w:rsid w:val="004E0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D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D0F"/>
    <w:rPr>
      <w:b/>
      <w:smallCaps/>
    </w:rPr>
  </w:style>
  <w:style w:type="paragraph" w:customStyle="1" w:styleId="TableListNumber">
    <w:name w:val="Table List Number"/>
    <w:basedOn w:val="ListNumber"/>
    <w:rsid w:val="004E0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D0F"/>
    <w:pPr>
      <w:numPr>
        <w:numId w:val="9"/>
      </w:numPr>
    </w:pPr>
  </w:style>
  <w:style w:type="paragraph" w:customStyle="1" w:styleId="ListAlpha2">
    <w:name w:val="List Alpha 2"/>
    <w:basedOn w:val="List2"/>
    <w:rsid w:val="004E0D0F"/>
    <w:pPr>
      <w:numPr>
        <w:numId w:val="8"/>
      </w:numPr>
    </w:pPr>
  </w:style>
  <w:style w:type="paragraph" w:styleId="List2">
    <w:name w:val="List 2"/>
    <w:basedOn w:val="BodyText"/>
    <w:rsid w:val="004E0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D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D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D0F"/>
    <w:pPr>
      <w:numPr>
        <w:numId w:val="4"/>
      </w:numPr>
    </w:pPr>
  </w:style>
  <w:style w:type="paragraph" w:styleId="ListContinue2">
    <w:name w:val="List Continue 2"/>
    <w:basedOn w:val="List2"/>
    <w:rsid w:val="004E0D0F"/>
    <w:pPr>
      <w:ind w:firstLine="0"/>
    </w:pPr>
  </w:style>
  <w:style w:type="paragraph" w:styleId="ListContinue3">
    <w:name w:val="List Continue 3"/>
    <w:basedOn w:val="List3"/>
    <w:rsid w:val="004E0D0F"/>
    <w:pPr>
      <w:ind w:left="1021" w:firstLine="0"/>
    </w:pPr>
  </w:style>
  <w:style w:type="paragraph" w:styleId="ListContinue4">
    <w:name w:val="List Continue 4"/>
    <w:basedOn w:val="List4"/>
    <w:rsid w:val="004E0D0F"/>
    <w:pPr>
      <w:ind w:firstLine="0"/>
    </w:pPr>
  </w:style>
  <w:style w:type="paragraph" w:styleId="ListContinue5">
    <w:name w:val="List Continue 5"/>
    <w:basedOn w:val="List5"/>
    <w:rsid w:val="004E0D0F"/>
    <w:pPr>
      <w:ind w:firstLine="0"/>
    </w:pPr>
  </w:style>
  <w:style w:type="paragraph" w:styleId="ListNumber3">
    <w:name w:val="List Number 3"/>
    <w:basedOn w:val="List3"/>
    <w:rsid w:val="004E0D0F"/>
    <w:pPr>
      <w:numPr>
        <w:numId w:val="5"/>
      </w:numPr>
    </w:pPr>
  </w:style>
  <w:style w:type="paragraph" w:styleId="ListNumber4">
    <w:name w:val="List Number 4"/>
    <w:basedOn w:val="List4"/>
    <w:rsid w:val="004E0D0F"/>
    <w:pPr>
      <w:numPr>
        <w:numId w:val="6"/>
      </w:numPr>
    </w:pPr>
  </w:style>
  <w:style w:type="paragraph" w:styleId="ListNumber5">
    <w:name w:val="List Number 5"/>
    <w:basedOn w:val="List5"/>
    <w:rsid w:val="004E0D0F"/>
    <w:pPr>
      <w:numPr>
        <w:numId w:val="7"/>
      </w:numPr>
    </w:pPr>
  </w:style>
  <w:style w:type="paragraph" w:styleId="BlockText">
    <w:name w:val="Block Text"/>
    <w:basedOn w:val="Normal"/>
    <w:rsid w:val="004E0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D0F"/>
    <w:rPr>
      <w:sz w:val="16"/>
      <w:vertAlign w:val="superscript"/>
    </w:rPr>
  </w:style>
  <w:style w:type="character" w:customStyle="1" w:styleId="Symbols">
    <w:name w:val="Symbols"/>
    <w:basedOn w:val="DefaultParagraphFont"/>
    <w:rsid w:val="004E0D0F"/>
    <w:rPr>
      <w:rFonts w:ascii="Symbol" w:hAnsi="Symbol"/>
    </w:rPr>
  </w:style>
  <w:style w:type="character" w:customStyle="1" w:styleId="MenuOptions">
    <w:name w:val="Menu Options"/>
    <w:basedOn w:val="DefaultParagraphFont"/>
    <w:rsid w:val="004E0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D0F"/>
    <w:rPr>
      <w:b/>
    </w:rPr>
  </w:style>
  <w:style w:type="character" w:customStyle="1" w:styleId="Underlined">
    <w:name w:val="Underlined"/>
    <w:basedOn w:val="DefaultParagraphFont"/>
    <w:rsid w:val="004E0D0F"/>
    <w:rPr>
      <w:u w:val="single"/>
    </w:rPr>
  </w:style>
  <w:style w:type="paragraph" w:customStyle="1" w:styleId="TableBodyTextRight">
    <w:name w:val="Table Body Text Right"/>
    <w:basedOn w:val="TableBodyText"/>
    <w:rsid w:val="004E0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D0F"/>
    <w:rPr>
      <w:sz w:val="18"/>
    </w:rPr>
  </w:style>
  <w:style w:type="paragraph" w:customStyle="1" w:styleId="BodySmallRight">
    <w:name w:val="Body Small Right"/>
    <w:basedOn w:val="BodyTextRight"/>
    <w:rsid w:val="004E0D0F"/>
    <w:rPr>
      <w:sz w:val="18"/>
      <w:szCs w:val="18"/>
    </w:rPr>
  </w:style>
  <w:style w:type="paragraph" w:customStyle="1" w:styleId="MarginEdition">
    <w:name w:val="Margin Edition"/>
    <w:basedOn w:val="MarginNote"/>
    <w:rsid w:val="004E0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D0F"/>
    <w:rPr>
      <w:sz w:val="2"/>
      <w:szCs w:val="2"/>
    </w:rPr>
  </w:style>
  <w:style w:type="character" w:customStyle="1" w:styleId="Small">
    <w:name w:val="Small"/>
    <w:basedOn w:val="DefaultParagraphFont"/>
    <w:rsid w:val="004E0D0F"/>
    <w:rPr>
      <w:sz w:val="16"/>
    </w:rPr>
  </w:style>
  <w:style w:type="paragraph" w:customStyle="1" w:styleId="WideTable">
    <w:name w:val="Wide Table"/>
    <w:basedOn w:val="Normal"/>
    <w:rsid w:val="004E0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D0F"/>
  </w:style>
  <w:style w:type="paragraph" w:styleId="Quote">
    <w:name w:val="Quote"/>
    <w:basedOn w:val="Heading1"/>
    <w:link w:val="QuoteChar"/>
    <w:qFormat/>
    <w:rsid w:val="004E0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D0F"/>
    <w:pPr>
      <w:pageBreakBefore/>
    </w:pPr>
  </w:style>
  <w:style w:type="paragraph" w:customStyle="1" w:styleId="Border">
    <w:name w:val="Border"/>
    <w:basedOn w:val="Normal"/>
    <w:qFormat/>
    <w:rsid w:val="004E0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D0F"/>
    <w:rPr>
      <w:u w:val="single"/>
    </w:rPr>
  </w:style>
  <w:style w:type="character" w:customStyle="1" w:styleId="BoldandItalics">
    <w:name w:val="Bold and Italics"/>
    <w:qFormat/>
    <w:rsid w:val="004E0D0F"/>
    <w:rPr>
      <w:b/>
      <w:i/>
      <w:u w:val="none"/>
    </w:rPr>
  </w:style>
  <w:style w:type="paragraph" w:styleId="BalloonText">
    <w:name w:val="Balloon Text"/>
    <w:basedOn w:val="Normal"/>
    <w:link w:val="BalloonTextChar"/>
    <w:rsid w:val="004E0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D0F"/>
    <w:pPr>
      <w:spacing w:before="0" w:after="0"/>
    </w:pPr>
  </w:style>
  <w:style w:type="paragraph" w:customStyle="1" w:styleId="BodyTextBold">
    <w:name w:val="Body Text Bold"/>
    <w:basedOn w:val="BodyText"/>
    <w:qFormat/>
    <w:rsid w:val="004E0D0F"/>
    <w:rPr>
      <w:b/>
    </w:rPr>
  </w:style>
  <w:style w:type="character" w:styleId="Hyperlink">
    <w:name w:val="Hyperlink"/>
    <w:basedOn w:val="DefaultParagraphFont"/>
    <w:uiPriority w:val="99"/>
    <w:unhideWhenUsed/>
    <w:rsid w:val="006F4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3113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CPCCBS6109 Process building applications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