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2B20" w:rsidP="00602B20">
      <w:pPr>
        <w:pStyle w:val="Title"/>
      </w:pPr>
      <w:r>
        <w:fldChar w:fldCharType="begin"/>
      </w:r>
      <w:r>
        <w:instrText xml:space="preserve"> TITLE   \* MERGEFORMAT </w:instrText>
      </w:r>
      <w:r>
        <w:fldChar w:fldCharType="separate"/>
      </w:r>
      <w:r>
        <w:t>CPCCBS6101 Research and evaluate construction methods and materials for Class 1 and 10 buildings to three store</w:t>
      </w:r>
      <w:r>
        <w:fldChar w:fldCharType="end"/>
      </w:r>
    </w:p>
    <w:p w:rsidR="00602B20" w:rsidP="00602B20">
      <w:pPr>
        <w:pStyle w:val="Version"/>
        <w:sectPr w:rsidSect="00D620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2011" w:rsidP="00D62011">
      <w:pPr>
        <w:pStyle w:val="SuperHeading"/>
      </w:pPr>
      <w:r w:rsidRPr="00D62011">
        <w:t>CPCCBS6101 Research and evaluate construction methods and materials for Class 1 and 10 buildings to three store</w:t>
      </w:r>
    </w:p>
    <w:p w:rsidR="00000000" w:rsidRPr="00D62011" w:rsidP="00D62011">
      <w:pPr>
        <w:pStyle w:val="Heading1"/>
      </w:pPr>
      <w:bookmarkStart w:id="1" w:name="O_1143751"/>
      <w:bookmarkEnd w:id="1"/>
      <w:r w:rsidRPr="00D62011">
        <w:t>Modification History</w:t>
      </w:r>
    </w:p>
    <w:tbl>
      <w:tblPr>
        <w:tblW w:w="0" w:type="auto"/>
        <w:tblLayout w:type="fixed"/>
        <w:tblCellMar>
          <w:left w:w="62" w:type="dxa"/>
          <w:right w:w="62" w:type="dxa"/>
        </w:tblCellMar>
        <w:tblLook w:val="0000"/>
      </w:tblPr>
      <w:tblGrid>
        <w:gridCol w:w="1310"/>
        <w:gridCol w:w="7592"/>
      </w:tblGrid>
      <w:tr w:rsidTr="00D62011">
        <w:tblPrEx>
          <w:tblW w:w="0" w:type="auto"/>
          <w:tblLayout w:type="fixed"/>
          <w:tblCellMar>
            <w:left w:w="62" w:type="dxa"/>
            <w:right w:w="62" w:type="dxa"/>
          </w:tblCellMar>
          <w:tblLook w:val="0000"/>
        </w:tblPrEx>
        <w:tc>
          <w:tcPr>
            <w:tcW w:w="1310" w:type="dxa"/>
            <w:tcBorders>
              <w:top w:val="nil"/>
              <w:left w:val="nil"/>
              <w:bottom w:val="nil"/>
              <w:right w:val="nil"/>
            </w:tcBorders>
            <w:tcMar>
              <w:top w:w="0" w:type="dxa"/>
              <w:left w:w="62" w:type="dxa"/>
              <w:bottom w:w="0" w:type="dxa"/>
              <w:right w:w="62" w:type="dxa"/>
            </w:tcMar>
          </w:tcPr>
          <w:p w:rsidR="00000000" w:rsidP="00D62011">
            <w:pPr>
              <w:pStyle w:val="BodyText"/>
              <w:rPr>
                <w:lang w:val="en-NZ"/>
              </w:rPr>
            </w:pPr>
            <w:r w:rsidRPr="00D62011">
              <w:t>Release 1</w:t>
            </w:r>
          </w:p>
        </w:tc>
        <w:tc>
          <w:tcPr>
            <w:tcW w:w="7592" w:type="dxa"/>
            <w:tcBorders>
              <w:top w:val="nil"/>
              <w:left w:val="nil"/>
              <w:bottom w:val="nil"/>
              <w:right w:val="nil"/>
            </w:tcBorders>
            <w:tcMar>
              <w:top w:w="0" w:type="dxa"/>
              <w:left w:w="62" w:type="dxa"/>
              <w:bottom w:w="0" w:type="dxa"/>
              <w:right w:w="62" w:type="dxa"/>
            </w:tcMar>
          </w:tcPr>
          <w:p w:rsidR="00000000" w:rsidRPr="00D62011" w:rsidP="00D62011">
            <w:pPr>
              <w:pStyle w:val="BodyText"/>
            </w:pPr>
            <w:r w:rsidRPr="00D62011">
              <w:t>This version first released with CPC Construction, Plumbing and Se</w:t>
            </w:r>
            <w:r w:rsidRPr="00D62011">
              <w:t>rvices Training Package Release 6.0.</w:t>
            </w:r>
          </w:p>
          <w:p w:rsidR="00000000" w:rsidRPr="00D62011" w:rsidP="00D62011">
            <w:pPr>
              <w:pStyle w:val="BodyText"/>
            </w:pPr>
            <w:r w:rsidRPr="00D62011">
              <w:t>Supersedes and is equivalent to CPCCBS6001 Research and evaluate construction methods and materials for residential buildings to three storeys.</w:t>
            </w:r>
          </w:p>
        </w:tc>
      </w:tr>
    </w:tbl>
    <w:p w:rsidR="00000000" w:rsidRPr="00D62011" w:rsidP="00D62011">
      <w:pPr>
        <w:pStyle w:val="BodyText"/>
      </w:pPr>
    </w:p>
    <w:p w:rsidR="00000000" w:rsidRPr="00D62011" w:rsidP="00D62011">
      <w:pPr>
        <w:pStyle w:val="AllowPageBreak"/>
      </w:pPr>
    </w:p>
    <w:p w:rsidR="00000000" w:rsidRPr="00D62011" w:rsidP="00D62011">
      <w:pPr>
        <w:pStyle w:val="Heading1"/>
      </w:pPr>
      <w:bookmarkStart w:id="2" w:name="O_1143757"/>
      <w:bookmarkEnd w:id="2"/>
      <w:r w:rsidRPr="00D62011">
        <w:t>Application</w:t>
      </w:r>
    </w:p>
    <w:p w:rsidR="00000000" w:rsidRPr="00D62011" w:rsidP="00602B20">
      <w:pPr>
        <w:pStyle w:val="BodyText"/>
      </w:pPr>
      <w:r w:rsidRPr="00D62011">
        <w:t>This unit of competency specifies the skil</w:t>
      </w:r>
      <w:r w:rsidRPr="00D62011">
        <w:t>ls and knowledge required to develop an understanding of traditional, new and emerging construction methods and materials, including systems and components for services, for Class 1 and 10 buildings as defined in the National Construction Code (NCC), and u</w:t>
      </w:r>
      <w:r w:rsidRPr="00D62011">
        <w:t>p to three storeys and not exceeding 2,000 square metres in floor area. It requires researching and evaluating construction industry information, including research papers, engineering reports, material specifications and performance data; and establishing</w:t>
      </w:r>
      <w:r w:rsidRPr="00D62011">
        <w:t xml:space="preserve"> information management procedures to maintain data currency, classify and store research information. </w:t>
      </w:r>
    </w:p>
    <w:p w:rsidR="00000000" w:rsidRPr="00D62011" w:rsidP="00602B20">
      <w:pPr>
        <w:pStyle w:val="BodyText"/>
      </w:pPr>
      <w:r w:rsidRPr="00D62011">
        <w:t>This unit is suitable for building surveyors who draw on their broad theoretical knowledge and technical skills to provide advisory code-consulting serv</w:t>
      </w:r>
      <w:r w:rsidRPr="00D62011">
        <w:t xml:space="preserve">ices or authorised statutory services relating to planning or building permit application assessment or building audit and inspection services for Class 1 and 10 buildings. </w:t>
      </w:r>
    </w:p>
    <w:p w:rsidR="00000000" w:rsidRPr="00D62011" w:rsidP="00602B20">
      <w:pPr>
        <w:pStyle w:val="BodyText"/>
      </w:pPr>
      <w:r w:rsidRPr="00D62011">
        <w:t xml:space="preserve">This unit forms part of the licensing requirements for building surveying in some </w:t>
      </w:r>
      <w:r w:rsidRPr="00D62011">
        <w:t>states and territories. Relevant state and territory regulatory authorities should be consulted to clarify these requirements.</w:t>
      </w:r>
    </w:p>
    <w:p w:rsidR="00000000" w:rsidRPr="00D62011" w:rsidP="00D62011">
      <w:pPr>
        <w:pStyle w:val="Heading1"/>
      </w:pPr>
      <w:bookmarkStart w:id="3" w:name="O_1143756"/>
      <w:bookmarkEnd w:id="3"/>
      <w:r w:rsidRPr="00D62011">
        <w:t>Pre-requisite Unit</w:t>
      </w:r>
    </w:p>
    <w:p w:rsidR="00000000" w:rsidRPr="00D62011" w:rsidP="00602B20">
      <w:pPr>
        <w:pStyle w:val="BodyText"/>
      </w:pPr>
      <w:r w:rsidRPr="00D62011">
        <w:t>Nil.</w:t>
      </w:r>
    </w:p>
    <w:p w:rsidR="00000000" w:rsidRPr="00D62011" w:rsidP="00D62011">
      <w:pPr>
        <w:pStyle w:val="Heading1"/>
      </w:pPr>
      <w:bookmarkStart w:id="4" w:name="O_1143755"/>
      <w:bookmarkEnd w:id="4"/>
      <w:r w:rsidRPr="00D62011">
        <w:t>Unit Sector</w:t>
      </w:r>
    </w:p>
    <w:p w:rsidR="00000000" w:rsidRPr="00D62011" w:rsidP="00602B20">
      <w:pPr>
        <w:pStyle w:val="BodyText"/>
      </w:pPr>
      <w:r w:rsidRPr="00D62011">
        <w:t>Building surveying</w:t>
      </w:r>
    </w:p>
    <w:p w:rsidR="00000000" w:rsidRPr="00D62011" w:rsidP="00D62011">
      <w:pPr>
        <w:pStyle w:val="Heading1"/>
      </w:pPr>
      <w:bookmarkStart w:id="5" w:name="O_1143754"/>
      <w:bookmarkEnd w:id="5"/>
      <w:r w:rsidRPr="00D62011">
        <w:t>Elements and Perf</w:t>
      </w:r>
      <w:r w:rsidRPr="00D62011">
        <w:t>ormance Criteria</w:t>
      </w:r>
    </w:p>
    <w:tbl>
      <w:tblPr>
        <w:tblW w:w="0" w:type="auto"/>
        <w:tblLayout w:type="fixed"/>
        <w:tblCellMar>
          <w:left w:w="62" w:type="dxa"/>
          <w:right w:w="62" w:type="dxa"/>
        </w:tblCellMar>
        <w:tblLook w:val="0000"/>
      </w:tblPr>
      <w:tblGrid>
        <w:gridCol w:w="313"/>
        <w:gridCol w:w="2357"/>
        <w:gridCol w:w="804"/>
        <w:gridCol w:w="5659"/>
      </w:tblGrid>
      <w:tr w:rsidTr="00D62011">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62011">
            <w:pPr>
              <w:pStyle w:val="BodyText"/>
              <w:rPr>
                <w:lang w:val="en-NZ"/>
              </w:rPr>
            </w:pPr>
            <w:r w:rsidRPr="00D62011">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D62011">
            <w:pPr>
              <w:pStyle w:val="BodyText"/>
              <w:rPr>
                <w:lang w:val="en-NZ"/>
              </w:rPr>
            </w:pPr>
            <w:r w:rsidRPr="00D62011">
              <w:t>Performance criteria describe what needs to be done to demonstrate achievement of the element.</w:t>
            </w:r>
          </w:p>
        </w:tc>
      </w:tr>
      <w:tr w:rsidTr="00D6201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62011">
            <w:pPr>
              <w:pStyle w:val="BodyText"/>
              <w:rPr>
                <w:lang w:val="en-NZ"/>
              </w:rPr>
            </w:pPr>
            <w:r w:rsidRPr="00D62011">
              <w:t>1</w:t>
            </w:r>
          </w:p>
        </w:tc>
        <w:tc>
          <w:tcPr>
            <w:tcW w:w="2357" w:type="dxa"/>
            <w:vMerge w:val="restart"/>
            <w:tcBorders>
              <w:top w:val="nil"/>
              <w:left w:val="nil"/>
              <w:bottom w:val="nil"/>
              <w:right w:val="nil"/>
            </w:tcBorders>
            <w:tcMar>
              <w:top w:w="0" w:type="dxa"/>
              <w:left w:w="62" w:type="dxa"/>
              <w:bottom w:w="0" w:type="dxa"/>
              <w:right w:w="62" w:type="dxa"/>
            </w:tcMar>
          </w:tcPr>
          <w:p w:rsidR="00000000" w:rsidP="00D62011">
            <w:pPr>
              <w:pStyle w:val="BodyText"/>
              <w:rPr>
                <w:lang w:val="en-NZ"/>
              </w:rPr>
            </w:pPr>
            <w:r w:rsidRPr="00D62011">
              <w:t>Research and evaluate construction methods for Class 1 or 10 buildings.</w:t>
            </w:r>
          </w:p>
        </w:tc>
        <w:tc>
          <w:tcPr>
            <w:tcW w:w="804" w:type="dxa"/>
            <w:tcBorders>
              <w:top w:val="nil"/>
              <w:left w:val="nil"/>
              <w:bottom w:val="nil"/>
              <w:right w:val="nil"/>
            </w:tcBorders>
            <w:tcMar>
              <w:top w:w="0" w:type="dxa"/>
              <w:left w:w="62" w:type="dxa"/>
              <w:bottom w:w="0" w:type="dxa"/>
              <w:right w:w="62" w:type="dxa"/>
            </w:tcMar>
          </w:tcPr>
          <w:p w:rsidR="00000000" w:rsidP="00D62011">
            <w:pPr>
              <w:pStyle w:val="BodyText"/>
              <w:rPr>
                <w:lang w:val="en-NZ"/>
              </w:rPr>
            </w:pPr>
            <w:r w:rsidRPr="00D62011">
              <w:t>1.1</w:t>
            </w:r>
          </w:p>
        </w:tc>
        <w:tc>
          <w:tcPr>
            <w:tcW w:w="5659" w:type="dxa"/>
            <w:tcBorders>
              <w:top w:val="nil"/>
              <w:left w:val="nil"/>
              <w:bottom w:val="nil"/>
              <w:right w:val="nil"/>
            </w:tcBorders>
            <w:tcMar>
              <w:top w:w="0" w:type="dxa"/>
              <w:left w:w="62" w:type="dxa"/>
              <w:bottom w:w="0" w:type="dxa"/>
              <w:right w:w="62" w:type="dxa"/>
            </w:tcMar>
          </w:tcPr>
          <w:p w:rsidR="00000000" w:rsidP="00D62011">
            <w:pPr>
              <w:pStyle w:val="BodyText"/>
              <w:rPr>
                <w:lang w:val="en-NZ"/>
              </w:rPr>
            </w:pPr>
            <w:r w:rsidRPr="00D62011">
              <w:t>Research information to identify traditional, new and emerging construction methods and conduct required checks to confirm the validity and reliability of gathered information.</w:t>
            </w:r>
          </w:p>
        </w:tc>
      </w:tr>
      <w:tr w:rsidTr="00D6201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2011">
            <w:pPr>
              <w:pStyle w:val="BodyText"/>
              <w:rPr>
                <w:lang w:val="en-NZ"/>
              </w:rPr>
            </w:pPr>
            <w:r w:rsidRPr="00D62011">
              <w:t>1.2</w:t>
            </w:r>
          </w:p>
        </w:tc>
        <w:tc>
          <w:tcPr>
            <w:tcW w:w="5659" w:type="dxa"/>
            <w:tcBorders>
              <w:top w:val="nil"/>
              <w:left w:val="nil"/>
              <w:bottom w:val="nil"/>
              <w:right w:val="nil"/>
            </w:tcBorders>
            <w:tcMar>
              <w:top w:w="0" w:type="dxa"/>
              <w:left w:w="62" w:type="dxa"/>
              <w:bottom w:w="0" w:type="dxa"/>
              <w:right w:w="62" w:type="dxa"/>
            </w:tcMar>
          </w:tcPr>
          <w:p w:rsidR="00000000" w:rsidP="00D62011">
            <w:pPr>
              <w:pStyle w:val="BodyText"/>
              <w:rPr>
                <w:lang w:val="en-NZ"/>
              </w:rPr>
            </w:pPr>
            <w:r w:rsidRPr="00D62011">
              <w:t>Investigate and evaluate methods for site investigation and preparation.</w:t>
            </w:r>
          </w:p>
        </w:tc>
      </w:tr>
      <w:tr w:rsidTr="00D6201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2011">
            <w:pPr>
              <w:pStyle w:val="BodyText"/>
              <w:rPr>
                <w:lang w:val="en-NZ"/>
              </w:rPr>
            </w:pPr>
            <w:r w:rsidRPr="00D62011">
              <w:t>1.3</w:t>
            </w:r>
          </w:p>
        </w:tc>
        <w:tc>
          <w:tcPr>
            <w:tcW w:w="5659" w:type="dxa"/>
            <w:tcBorders>
              <w:top w:val="nil"/>
              <w:left w:val="nil"/>
              <w:bottom w:val="nil"/>
              <w:right w:val="nil"/>
            </w:tcBorders>
            <w:tcMar>
              <w:top w:w="0" w:type="dxa"/>
              <w:left w:w="62" w:type="dxa"/>
              <w:bottom w:w="0" w:type="dxa"/>
              <w:right w:w="62" w:type="dxa"/>
            </w:tcMar>
          </w:tcPr>
          <w:p w:rsidR="00000000" w:rsidP="00D62011">
            <w:pPr>
              <w:pStyle w:val="BodyText"/>
              <w:rPr>
                <w:lang w:val="en-NZ"/>
              </w:rPr>
            </w:pPr>
            <w:r w:rsidRPr="00D62011">
              <w:t>Evaluate the application of different construction methods to structural elements, components or systems for Class 1 or 10 buildings.</w:t>
            </w:r>
          </w:p>
        </w:tc>
      </w:tr>
      <w:tr w:rsidTr="00D6201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62011">
            <w:pPr>
              <w:pStyle w:val="BodyText"/>
              <w:rPr>
                <w:lang w:val="en-NZ"/>
              </w:rPr>
            </w:pPr>
          </w:p>
        </w:tc>
      </w:tr>
      <w:tr w:rsidTr="00D6201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62011">
            <w:pPr>
              <w:pStyle w:val="BodyText"/>
              <w:rPr>
                <w:lang w:val="en-NZ"/>
              </w:rPr>
            </w:pPr>
            <w:r w:rsidRPr="00D62011">
              <w:t>2</w:t>
            </w:r>
          </w:p>
        </w:tc>
        <w:tc>
          <w:tcPr>
            <w:tcW w:w="2357" w:type="dxa"/>
            <w:vMerge w:val="restart"/>
            <w:tcBorders>
              <w:top w:val="nil"/>
              <w:left w:val="nil"/>
              <w:bottom w:val="nil"/>
              <w:right w:val="nil"/>
            </w:tcBorders>
            <w:tcMar>
              <w:top w:w="0" w:type="dxa"/>
              <w:left w:w="62" w:type="dxa"/>
              <w:bottom w:w="0" w:type="dxa"/>
              <w:right w:w="62" w:type="dxa"/>
            </w:tcMar>
          </w:tcPr>
          <w:p w:rsidR="00000000" w:rsidP="00D62011">
            <w:pPr>
              <w:pStyle w:val="BodyText"/>
              <w:rPr>
                <w:lang w:val="en-NZ"/>
              </w:rPr>
            </w:pPr>
            <w:r w:rsidRPr="00D62011">
              <w:t>Research and evaluate construction materials for Class 1 or 10 buildings.</w:t>
            </w:r>
          </w:p>
        </w:tc>
        <w:tc>
          <w:tcPr>
            <w:tcW w:w="804" w:type="dxa"/>
            <w:tcBorders>
              <w:top w:val="nil"/>
              <w:left w:val="nil"/>
              <w:bottom w:val="nil"/>
              <w:right w:val="nil"/>
            </w:tcBorders>
            <w:tcMar>
              <w:top w:w="0" w:type="dxa"/>
              <w:left w:w="62" w:type="dxa"/>
              <w:bottom w:w="0" w:type="dxa"/>
              <w:right w:w="62" w:type="dxa"/>
            </w:tcMar>
          </w:tcPr>
          <w:p w:rsidR="00000000" w:rsidP="00D62011">
            <w:pPr>
              <w:pStyle w:val="BodyText"/>
              <w:rPr>
                <w:lang w:val="en-NZ"/>
              </w:rPr>
            </w:pPr>
            <w:r w:rsidRPr="00D62011">
              <w:t>2.1</w:t>
            </w:r>
          </w:p>
        </w:tc>
        <w:tc>
          <w:tcPr>
            <w:tcW w:w="5659" w:type="dxa"/>
            <w:tcBorders>
              <w:top w:val="nil"/>
              <w:left w:val="nil"/>
              <w:bottom w:val="nil"/>
              <w:right w:val="nil"/>
            </w:tcBorders>
            <w:tcMar>
              <w:top w:w="0" w:type="dxa"/>
              <w:left w:w="62" w:type="dxa"/>
              <w:bottom w:w="0" w:type="dxa"/>
              <w:right w:w="62" w:type="dxa"/>
            </w:tcMar>
          </w:tcPr>
          <w:p w:rsidR="00000000" w:rsidP="00D62011">
            <w:pPr>
              <w:pStyle w:val="BodyText"/>
              <w:rPr>
                <w:lang w:val="en-NZ"/>
              </w:rPr>
            </w:pPr>
            <w:r w:rsidRPr="00D62011">
              <w:t>Research information to identify traditional, new and emerging construction materials and conduct required checks to confirm the validity and reliability of gathered information.</w:t>
            </w:r>
          </w:p>
        </w:tc>
      </w:tr>
      <w:tr w:rsidTr="00D6201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2011">
            <w:pPr>
              <w:pStyle w:val="BodyText"/>
              <w:rPr>
                <w:lang w:val="en-NZ"/>
              </w:rPr>
            </w:pPr>
            <w:r w:rsidRPr="00D62011">
              <w:t>2.2</w:t>
            </w:r>
          </w:p>
        </w:tc>
        <w:tc>
          <w:tcPr>
            <w:tcW w:w="5659" w:type="dxa"/>
            <w:tcBorders>
              <w:top w:val="nil"/>
              <w:left w:val="nil"/>
              <w:bottom w:val="nil"/>
              <w:right w:val="nil"/>
            </w:tcBorders>
            <w:tcMar>
              <w:top w:w="0" w:type="dxa"/>
              <w:left w:w="62" w:type="dxa"/>
              <w:bottom w:w="0" w:type="dxa"/>
              <w:right w:w="62" w:type="dxa"/>
            </w:tcMar>
          </w:tcPr>
          <w:p w:rsidR="00000000" w:rsidP="00D62011">
            <w:pPr>
              <w:pStyle w:val="BodyText"/>
              <w:rPr>
                <w:lang w:val="en-NZ"/>
              </w:rPr>
            </w:pPr>
            <w:r w:rsidRPr="00D62011">
              <w:t>Evaluate the application of different construction materials to structural elements, components or systems for Class 1 or 10 buildings.</w:t>
            </w:r>
          </w:p>
        </w:tc>
      </w:tr>
      <w:tr w:rsidTr="00D6201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62011">
            <w:pPr>
              <w:pStyle w:val="BodyText"/>
              <w:rPr>
                <w:lang w:val="en-NZ"/>
              </w:rPr>
            </w:pPr>
          </w:p>
        </w:tc>
      </w:tr>
      <w:tr w:rsidTr="00D6201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62011">
            <w:pPr>
              <w:pStyle w:val="BodyText"/>
              <w:rPr>
                <w:lang w:val="en-NZ"/>
              </w:rPr>
            </w:pPr>
            <w:r w:rsidRPr="00D62011">
              <w:t>3</w:t>
            </w:r>
          </w:p>
        </w:tc>
        <w:tc>
          <w:tcPr>
            <w:tcW w:w="2357" w:type="dxa"/>
            <w:vMerge w:val="restart"/>
            <w:tcBorders>
              <w:top w:val="nil"/>
              <w:left w:val="nil"/>
              <w:bottom w:val="nil"/>
              <w:right w:val="nil"/>
            </w:tcBorders>
            <w:tcMar>
              <w:top w:w="0" w:type="dxa"/>
              <w:left w:w="62" w:type="dxa"/>
              <w:bottom w:w="0" w:type="dxa"/>
              <w:right w:w="62" w:type="dxa"/>
            </w:tcMar>
          </w:tcPr>
          <w:p w:rsidR="00000000" w:rsidP="00D62011">
            <w:pPr>
              <w:pStyle w:val="BodyText"/>
              <w:rPr>
                <w:lang w:val="en-NZ"/>
              </w:rPr>
            </w:pPr>
            <w:r w:rsidRPr="00D62011">
              <w:t>Research and evaluate service provisions for Class 1 or 10 buildings.</w:t>
            </w:r>
          </w:p>
        </w:tc>
        <w:tc>
          <w:tcPr>
            <w:tcW w:w="804" w:type="dxa"/>
            <w:tcBorders>
              <w:top w:val="nil"/>
              <w:left w:val="nil"/>
              <w:bottom w:val="nil"/>
              <w:right w:val="nil"/>
            </w:tcBorders>
            <w:tcMar>
              <w:top w:w="0" w:type="dxa"/>
              <w:left w:w="62" w:type="dxa"/>
              <w:bottom w:w="0" w:type="dxa"/>
              <w:right w:w="62" w:type="dxa"/>
            </w:tcMar>
          </w:tcPr>
          <w:p w:rsidR="00000000" w:rsidP="00D62011">
            <w:pPr>
              <w:pStyle w:val="BodyText"/>
              <w:rPr>
                <w:lang w:val="en-NZ"/>
              </w:rPr>
            </w:pPr>
            <w:r w:rsidRPr="00D62011">
              <w:t>3.1</w:t>
            </w:r>
          </w:p>
        </w:tc>
        <w:tc>
          <w:tcPr>
            <w:tcW w:w="5659" w:type="dxa"/>
            <w:tcBorders>
              <w:top w:val="nil"/>
              <w:left w:val="nil"/>
              <w:bottom w:val="nil"/>
              <w:right w:val="nil"/>
            </w:tcBorders>
            <w:tcMar>
              <w:top w:w="0" w:type="dxa"/>
              <w:left w:w="62" w:type="dxa"/>
              <w:bottom w:w="0" w:type="dxa"/>
              <w:right w:w="62" w:type="dxa"/>
            </w:tcMar>
          </w:tcPr>
          <w:p w:rsidR="00000000" w:rsidP="00D62011">
            <w:pPr>
              <w:pStyle w:val="BodyText"/>
              <w:rPr>
                <w:lang w:val="en-NZ"/>
              </w:rPr>
            </w:pPr>
            <w:r w:rsidRPr="00D62011">
              <w:t>Research information to identify service requirements, compliance and installation methods, and conduct required checks to confirm the validity and reliability of gathered data.</w:t>
            </w:r>
          </w:p>
        </w:tc>
      </w:tr>
      <w:tr w:rsidTr="00D6201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2011">
            <w:pPr>
              <w:pStyle w:val="BodyText"/>
              <w:rPr>
                <w:lang w:val="en-NZ"/>
              </w:rPr>
            </w:pPr>
            <w:r w:rsidRPr="00D62011">
              <w:t>3.2</w:t>
            </w:r>
          </w:p>
        </w:tc>
        <w:tc>
          <w:tcPr>
            <w:tcW w:w="5659" w:type="dxa"/>
            <w:tcBorders>
              <w:top w:val="nil"/>
              <w:left w:val="nil"/>
              <w:bottom w:val="nil"/>
              <w:right w:val="nil"/>
            </w:tcBorders>
            <w:tcMar>
              <w:top w:w="0" w:type="dxa"/>
              <w:left w:w="62" w:type="dxa"/>
              <w:bottom w:w="0" w:type="dxa"/>
              <w:right w:w="62" w:type="dxa"/>
            </w:tcMar>
          </w:tcPr>
          <w:p w:rsidR="00000000" w:rsidP="00D62011">
            <w:pPr>
              <w:pStyle w:val="BodyText"/>
              <w:rPr>
                <w:lang w:val="en-NZ"/>
              </w:rPr>
            </w:pPr>
            <w:r w:rsidRPr="00D62011">
              <w:t>Evaluate options for energy supply and infrastructure, heating and cool</w:t>
            </w:r>
            <w:r w:rsidRPr="00D62011">
              <w:t>ing systems, fire protection and gas and hydraulic service supply and infrastructure.</w:t>
            </w:r>
          </w:p>
        </w:tc>
      </w:tr>
      <w:tr w:rsidTr="00D6201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2011">
            <w:pPr>
              <w:pStyle w:val="BodyText"/>
              <w:rPr>
                <w:lang w:val="en-NZ"/>
              </w:rPr>
            </w:pPr>
            <w:r w:rsidRPr="00D62011">
              <w:t>3.3</w:t>
            </w:r>
          </w:p>
        </w:tc>
        <w:tc>
          <w:tcPr>
            <w:tcW w:w="5659" w:type="dxa"/>
            <w:tcBorders>
              <w:top w:val="nil"/>
              <w:left w:val="nil"/>
              <w:bottom w:val="nil"/>
              <w:right w:val="nil"/>
            </w:tcBorders>
            <w:tcMar>
              <w:top w:w="0" w:type="dxa"/>
              <w:left w:w="62" w:type="dxa"/>
              <w:bottom w:w="0" w:type="dxa"/>
              <w:right w:w="62" w:type="dxa"/>
            </w:tcMar>
          </w:tcPr>
          <w:p w:rsidR="00000000" w:rsidP="00D62011">
            <w:pPr>
              <w:pStyle w:val="BodyText"/>
              <w:rPr>
                <w:lang w:val="en-NZ"/>
              </w:rPr>
            </w:pPr>
            <w:r w:rsidRPr="00D62011">
              <w:t xml:space="preserve">Evaluate service systems and components in relation to different user groups, geographical locations and climatic conditions, and note strengths and weaknesses </w:t>
            </w:r>
            <w:r w:rsidRPr="00D62011">
              <w:t>of each context.</w:t>
            </w:r>
          </w:p>
        </w:tc>
      </w:tr>
      <w:tr w:rsidTr="00D6201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62011">
            <w:pPr>
              <w:pStyle w:val="BodyText"/>
              <w:rPr>
                <w:lang w:val="en-NZ"/>
              </w:rPr>
            </w:pPr>
          </w:p>
        </w:tc>
      </w:tr>
      <w:tr w:rsidTr="00D6201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62011">
            <w:pPr>
              <w:pStyle w:val="BodyText"/>
              <w:rPr>
                <w:lang w:val="en-NZ"/>
              </w:rPr>
            </w:pPr>
            <w:r w:rsidRPr="00D62011">
              <w:t>4</w:t>
            </w:r>
          </w:p>
        </w:tc>
        <w:tc>
          <w:tcPr>
            <w:tcW w:w="2357" w:type="dxa"/>
            <w:vMerge w:val="restart"/>
            <w:tcBorders>
              <w:top w:val="nil"/>
              <w:left w:val="nil"/>
              <w:bottom w:val="nil"/>
              <w:right w:val="nil"/>
            </w:tcBorders>
            <w:tcMar>
              <w:top w:w="0" w:type="dxa"/>
              <w:left w:w="62" w:type="dxa"/>
              <w:bottom w:w="0" w:type="dxa"/>
              <w:right w:w="62" w:type="dxa"/>
            </w:tcMar>
          </w:tcPr>
          <w:p w:rsidR="00000000" w:rsidP="00D62011">
            <w:pPr>
              <w:pStyle w:val="BodyText"/>
              <w:rPr>
                <w:lang w:val="en-NZ"/>
              </w:rPr>
            </w:pPr>
            <w:r w:rsidRPr="00D62011">
              <w:t>Report research and evaluation outcomes.</w:t>
            </w:r>
          </w:p>
        </w:tc>
        <w:tc>
          <w:tcPr>
            <w:tcW w:w="804" w:type="dxa"/>
            <w:tcBorders>
              <w:top w:val="nil"/>
              <w:left w:val="nil"/>
              <w:bottom w:val="nil"/>
              <w:right w:val="nil"/>
            </w:tcBorders>
            <w:tcMar>
              <w:top w:w="0" w:type="dxa"/>
              <w:left w:w="62" w:type="dxa"/>
              <w:bottom w:w="0" w:type="dxa"/>
              <w:right w:w="62" w:type="dxa"/>
            </w:tcMar>
          </w:tcPr>
          <w:p w:rsidR="00000000" w:rsidP="00D62011">
            <w:pPr>
              <w:pStyle w:val="BodyText"/>
              <w:rPr>
                <w:lang w:val="en-NZ"/>
              </w:rPr>
            </w:pPr>
            <w:r w:rsidRPr="00D62011">
              <w:t>4.1</w:t>
            </w:r>
          </w:p>
        </w:tc>
        <w:tc>
          <w:tcPr>
            <w:tcW w:w="5659" w:type="dxa"/>
            <w:tcBorders>
              <w:top w:val="nil"/>
              <w:left w:val="nil"/>
              <w:bottom w:val="nil"/>
              <w:right w:val="nil"/>
            </w:tcBorders>
            <w:tcMar>
              <w:top w:w="0" w:type="dxa"/>
              <w:left w:w="62" w:type="dxa"/>
              <w:bottom w:w="0" w:type="dxa"/>
              <w:right w:w="62" w:type="dxa"/>
            </w:tcMar>
          </w:tcPr>
          <w:p w:rsidR="00000000" w:rsidP="00D62011">
            <w:pPr>
              <w:pStyle w:val="BodyText"/>
              <w:rPr>
                <w:lang w:val="en-NZ"/>
              </w:rPr>
            </w:pPr>
            <w:r w:rsidRPr="00D62011">
              <w:t>Prepare report containing research and evaluation findings, recommendations and supporting evidence for Class 1 or 10 building according to workplace requirements.</w:t>
            </w:r>
          </w:p>
        </w:tc>
      </w:tr>
      <w:tr w:rsidTr="00D6201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2011">
            <w:pPr>
              <w:pStyle w:val="BodyText"/>
              <w:rPr>
                <w:lang w:val="en-NZ"/>
              </w:rPr>
            </w:pPr>
            <w:r w:rsidRPr="00D62011">
              <w:t>4.2</w:t>
            </w:r>
          </w:p>
        </w:tc>
        <w:tc>
          <w:tcPr>
            <w:tcW w:w="5659" w:type="dxa"/>
            <w:tcBorders>
              <w:top w:val="nil"/>
              <w:left w:val="nil"/>
              <w:bottom w:val="nil"/>
              <w:right w:val="nil"/>
            </w:tcBorders>
            <w:tcMar>
              <w:top w:w="0" w:type="dxa"/>
              <w:left w:w="62" w:type="dxa"/>
              <w:bottom w:w="0" w:type="dxa"/>
              <w:right w:w="62" w:type="dxa"/>
            </w:tcMar>
          </w:tcPr>
          <w:p w:rsidR="00000000" w:rsidP="00D62011">
            <w:pPr>
              <w:pStyle w:val="BodyText"/>
              <w:rPr>
                <w:lang w:val="en-NZ"/>
              </w:rPr>
            </w:pPr>
            <w:r w:rsidRPr="00D62011">
              <w:t>Distribute research and evaluation report to relevant persons for feedback.</w:t>
            </w:r>
          </w:p>
        </w:tc>
      </w:tr>
      <w:tr w:rsidTr="00D6201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62011">
            <w:pPr>
              <w:pStyle w:val="BodyText"/>
              <w:rPr>
                <w:lang w:val="en-NZ"/>
              </w:rPr>
            </w:pPr>
            <w:r w:rsidRPr="00D62011">
              <w:t>4.3</w:t>
            </w:r>
          </w:p>
        </w:tc>
        <w:tc>
          <w:tcPr>
            <w:tcW w:w="5659" w:type="dxa"/>
            <w:tcBorders>
              <w:top w:val="nil"/>
              <w:left w:val="nil"/>
              <w:bottom w:val="nil"/>
              <w:right w:val="nil"/>
            </w:tcBorders>
            <w:tcMar>
              <w:top w:w="0" w:type="dxa"/>
              <w:left w:w="62" w:type="dxa"/>
              <w:bottom w:w="0" w:type="dxa"/>
              <w:right w:w="62" w:type="dxa"/>
            </w:tcMar>
          </w:tcPr>
          <w:p w:rsidR="00000000" w:rsidRPr="00D62011" w:rsidP="00D62011">
            <w:pPr>
              <w:pStyle w:val="BodyText"/>
            </w:pPr>
            <w:r w:rsidRPr="00D62011">
              <w:t>Implement information management procedures to maintain data currency and classify and store research and evaluation information for easy retrieval.</w:t>
            </w:r>
          </w:p>
        </w:tc>
      </w:tr>
    </w:tbl>
    <w:p w:rsidR="00000000" w:rsidRPr="00D62011" w:rsidP="00D62011">
      <w:pPr>
        <w:pStyle w:val="BodyText"/>
      </w:pPr>
    </w:p>
    <w:p w:rsidR="00000000" w:rsidRPr="00D62011" w:rsidP="00D62011">
      <w:pPr>
        <w:pStyle w:val="AllowPageBreak"/>
      </w:pPr>
    </w:p>
    <w:p w:rsidR="00000000" w:rsidRPr="00D62011" w:rsidP="00D62011">
      <w:pPr>
        <w:pStyle w:val="Heading1"/>
      </w:pPr>
      <w:bookmarkStart w:id="6" w:name="O_1143753"/>
      <w:bookmarkEnd w:id="6"/>
      <w:r w:rsidRPr="00D62011">
        <w:t>Fou</w:t>
      </w:r>
      <w:r w:rsidRPr="00D62011">
        <w:t>ndation Skills</w:t>
      </w:r>
    </w:p>
    <w:p w:rsidR="00000000" w:rsidRPr="00D62011" w:rsidP="00602B20">
      <w:pPr>
        <w:pStyle w:val="BodyText"/>
      </w:pPr>
      <w:r w:rsidRPr="00D62011">
        <w:t>As well as the foundation skills explicit in the performance criteria of this unit, candidates require:</w:t>
      </w:r>
    </w:p>
    <w:p w:rsidR="00000000" w:rsidRPr="00D62011" w:rsidP="00D62011">
      <w:pPr>
        <w:pStyle w:val="ListBullet"/>
      </w:pPr>
      <w:r w:rsidRPr="00D62011">
        <w:t>numeracy skills to:</w:t>
      </w:r>
    </w:p>
    <w:p w:rsidR="00000000" w:rsidRPr="00D62011" w:rsidP="00D62011">
      <w:pPr>
        <w:pStyle w:val="ListBullet"/>
      </w:pPr>
      <w:r w:rsidRPr="00D62011">
        <w:t>interpret construction material characteristics and performance data using fractions, decimals, percentages, ratio, rates and proportions</w:t>
      </w:r>
    </w:p>
    <w:p w:rsidR="00000000" w:rsidRPr="00D62011" w:rsidP="00D62011">
      <w:pPr>
        <w:pStyle w:val="ListBullet"/>
      </w:pPr>
      <w:r w:rsidRPr="00D62011">
        <w:t>use mathematical language relating to properties of materials including fire ratings and load bearing capacities.</w:t>
      </w:r>
    </w:p>
    <w:p w:rsidR="00000000" w:rsidRPr="00D62011" w:rsidP="00D62011">
      <w:pPr>
        <w:pStyle w:val="AllowPageBreak"/>
      </w:pPr>
    </w:p>
    <w:p w:rsidR="00000000" w:rsidRPr="00D62011" w:rsidP="00D62011">
      <w:pPr>
        <w:pStyle w:val="Heading1"/>
      </w:pPr>
      <w:bookmarkStart w:id="7" w:name="O_1143752"/>
      <w:bookmarkEnd w:id="7"/>
      <w:r w:rsidRPr="00D62011">
        <w:t>Unit Mapping Information</w:t>
      </w:r>
    </w:p>
    <w:p w:rsidR="00000000" w:rsidRPr="00D62011" w:rsidP="00602B20">
      <w:pPr>
        <w:pStyle w:val="BodyText"/>
      </w:pPr>
      <w:r w:rsidRPr="00D62011">
        <w:t>Supersedes and is equivalent to CPCCBS6001 Research and evaluate construction methods and materials for residential buildings to three storeys.</w:t>
      </w:r>
    </w:p>
    <w:p w:rsidR="00000000" w:rsidRPr="00D62011" w:rsidP="00D62011">
      <w:pPr>
        <w:pStyle w:val="Heading1"/>
      </w:pPr>
      <w:bookmarkStart w:id="8" w:name="O_1143745"/>
      <w:bookmarkEnd w:id="8"/>
      <w:r w:rsidRPr="00D62011">
        <w:t>Links</w:t>
      </w:r>
    </w:p>
    <w:p w:rsidR="00000000" w:rsidRPr="00D62011" w:rsidP="00602B20">
      <w:pPr>
        <w:pStyle w:val="BodyText"/>
      </w:pPr>
      <w:r w:rsidRPr="00D62011">
        <w:t xml:space="preserve">Companion volumes to this training package are </w:t>
      </w:r>
      <w:r w:rsidRPr="00D62011">
        <w:t xml:space="preserve">available at the VETNet website - </w:t>
      </w:r>
      <w:r>
        <w:fldChar w:fldCharType="begin"/>
      </w:r>
      <w:r>
        <w:instrText xml:space="preserve"> HYPERLINK "https://vetnet.gov.au/Pages/TrainingDocs.aspx?q=7e15fa6a-68b8-4097-b099-030a5569b1ad" </w:instrText>
      </w:r>
      <w:r>
        <w:fldChar w:fldCharType="separate"/>
      </w:r>
      <w:r w:rsidRPr="003D02D9">
        <w:rPr>
          <w:rStyle w:val="Hyperlink"/>
        </w:rPr>
        <w:t>https://vetnet.gov.au/Pages/TrainingDocs.aspx?q=7e15fa6a-68b8-4097-b099-030a5569b1ad</w:t>
      </w:r>
      <w:r>
        <w:fldChar w:fldCharType="end"/>
      </w:r>
    </w:p>
    <w:p w:rsidR="00000000" w:rsidRPr="00D62011" w:rsidP="00602B20">
      <w:pPr>
        <w:pStyle w:val="BodyText"/>
        <w:sectPr w:rsidSect="00D62011">
          <w:headerReference w:type="default" r:id="rId10"/>
          <w:footerReference w:type="default" r:id="rId11"/>
          <w:pgSz w:w="11908" w:h="16833"/>
          <w:pgMar w:top="1702" w:right="1418" w:bottom="1702" w:left="1418" w:header="992" w:footer="992" w:gutter="0"/>
          <w:cols w:space="720"/>
          <w:noEndnote/>
          <w:docGrid w:linePitch="299"/>
        </w:sectPr>
      </w:pPr>
    </w:p>
    <w:p w:rsidR="00000000" w:rsidRPr="00D62011" w:rsidP="00D62011">
      <w:pPr>
        <w:pStyle w:val="SuperHeading"/>
      </w:pPr>
      <w:r w:rsidRPr="00D62011">
        <w:t>Assessment Requirements for CPCCBS6101 Research and evaluate construction methods and mate</w:t>
      </w:r>
      <w:r w:rsidRPr="00D62011">
        <w:t>rials for Class 1 and 10 buildings to three store</w:t>
      </w:r>
    </w:p>
    <w:p w:rsidR="00000000" w:rsidRPr="00D62011" w:rsidP="00D62011">
      <w:pPr>
        <w:pStyle w:val="Heading1"/>
      </w:pPr>
      <w:bookmarkStart w:id="9" w:name="O_1143747"/>
      <w:bookmarkEnd w:id="9"/>
      <w:r w:rsidRPr="00D62011">
        <w:t>Modification History</w:t>
      </w:r>
    </w:p>
    <w:tbl>
      <w:tblPr>
        <w:tblW w:w="0" w:type="auto"/>
        <w:tblLayout w:type="fixed"/>
        <w:tblCellMar>
          <w:left w:w="62" w:type="dxa"/>
          <w:right w:w="62" w:type="dxa"/>
        </w:tblCellMar>
        <w:tblLook w:val="0000"/>
      </w:tblPr>
      <w:tblGrid>
        <w:gridCol w:w="1310"/>
        <w:gridCol w:w="7592"/>
      </w:tblGrid>
      <w:tr w:rsidTr="00D62011">
        <w:tblPrEx>
          <w:tblW w:w="0" w:type="auto"/>
          <w:tblLayout w:type="fixed"/>
          <w:tblCellMar>
            <w:left w:w="62" w:type="dxa"/>
            <w:right w:w="62" w:type="dxa"/>
          </w:tblCellMar>
          <w:tblLook w:val="0000"/>
        </w:tblPrEx>
        <w:tc>
          <w:tcPr>
            <w:tcW w:w="1310" w:type="dxa"/>
            <w:tcBorders>
              <w:top w:val="nil"/>
              <w:left w:val="nil"/>
              <w:bottom w:val="nil"/>
              <w:right w:val="nil"/>
            </w:tcBorders>
            <w:tcMar>
              <w:top w:w="0" w:type="dxa"/>
              <w:left w:w="62" w:type="dxa"/>
              <w:bottom w:w="0" w:type="dxa"/>
              <w:right w:w="62" w:type="dxa"/>
            </w:tcMar>
          </w:tcPr>
          <w:p w:rsidR="00000000" w:rsidP="00D62011">
            <w:pPr>
              <w:pStyle w:val="BodyText"/>
              <w:rPr>
                <w:lang w:val="en-NZ"/>
              </w:rPr>
            </w:pPr>
            <w:r w:rsidRPr="00D62011">
              <w:t>Release 1</w:t>
            </w:r>
          </w:p>
        </w:tc>
        <w:tc>
          <w:tcPr>
            <w:tcW w:w="7592" w:type="dxa"/>
            <w:tcBorders>
              <w:top w:val="nil"/>
              <w:left w:val="nil"/>
              <w:bottom w:val="nil"/>
              <w:right w:val="nil"/>
            </w:tcBorders>
            <w:tcMar>
              <w:top w:w="0" w:type="dxa"/>
              <w:left w:w="62" w:type="dxa"/>
              <w:bottom w:w="0" w:type="dxa"/>
              <w:right w:w="62" w:type="dxa"/>
            </w:tcMar>
          </w:tcPr>
          <w:p w:rsidR="00000000" w:rsidRPr="00D62011" w:rsidP="00D62011">
            <w:pPr>
              <w:pStyle w:val="BodyText"/>
            </w:pPr>
            <w:r w:rsidRPr="00D62011">
              <w:t>This version first released with CPC Construction, Plumbing and Services Training Package Release 6.0.</w:t>
            </w:r>
          </w:p>
          <w:p w:rsidR="00000000" w:rsidRPr="00D62011" w:rsidP="00D62011">
            <w:pPr>
              <w:pStyle w:val="BodyText"/>
            </w:pPr>
            <w:r w:rsidRPr="00D62011">
              <w:t>Supersedes and is equivalent to CPCCBS6001 Research and evaluate construction methods and materials for residential buildings to three storeys.</w:t>
            </w:r>
          </w:p>
        </w:tc>
      </w:tr>
    </w:tbl>
    <w:p w:rsidR="00000000" w:rsidRPr="00D62011" w:rsidP="00D62011">
      <w:pPr>
        <w:pStyle w:val="BodyText"/>
      </w:pPr>
    </w:p>
    <w:p w:rsidR="00000000" w:rsidRPr="00D62011" w:rsidP="00D62011">
      <w:pPr>
        <w:pStyle w:val="AllowPageBreak"/>
      </w:pPr>
    </w:p>
    <w:p w:rsidR="00000000" w:rsidRPr="00D62011" w:rsidP="00D62011">
      <w:pPr>
        <w:pStyle w:val="Heading1"/>
      </w:pPr>
      <w:bookmarkStart w:id="10" w:name="O_1143750"/>
      <w:bookmarkEnd w:id="10"/>
      <w:r w:rsidRPr="00D62011">
        <w:t>Performance Evidence</w:t>
      </w:r>
    </w:p>
    <w:p w:rsidR="00000000" w:rsidRPr="00D62011" w:rsidP="00602B20">
      <w:pPr>
        <w:pStyle w:val="BodyText"/>
      </w:pPr>
      <w:r w:rsidRPr="00D62011">
        <w:t>To demonstrate competency, a candidate must meet the elements and perf</w:t>
      </w:r>
      <w:r w:rsidRPr="00D62011">
        <w:t>ormance criteria of this unit by researching and evaluating construction methods and materials to support building surveying services for three different buildings of less than 2,000 square metres in floor area, involving the following Classes as defined b</w:t>
      </w:r>
      <w:r w:rsidRPr="00D62011">
        <w:t>y the National Construction Code (NCC):</w:t>
      </w:r>
    </w:p>
    <w:p w:rsidR="00000000" w:rsidRPr="00D62011" w:rsidP="00D62011">
      <w:pPr>
        <w:pStyle w:val="ListBullet"/>
      </w:pPr>
      <w:r w:rsidRPr="00D62011">
        <w:t>two buildings in Class 1, each with three storeys</w:t>
      </w:r>
    </w:p>
    <w:p w:rsidR="00000000" w:rsidRPr="00D62011" w:rsidP="00D62011">
      <w:pPr>
        <w:pStyle w:val="ListBullet"/>
      </w:pPr>
      <w:r w:rsidRPr="00D62011">
        <w:t>one building in Class 1 and less than three storeys, or in Class 10.</w:t>
      </w:r>
    </w:p>
    <w:p w:rsidR="00000000" w:rsidRPr="00D62011" w:rsidP="00602B20">
      <w:pPr>
        <w:pStyle w:val="BodyText"/>
      </w:pPr>
      <w:r w:rsidRPr="00D62011">
        <w:t>Each building must be in a different geographical location/area selected from the following:</w:t>
      </w:r>
    </w:p>
    <w:p w:rsidR="00000000" w:rsidRPr="00D62011" w:rsidP="00D62011">
      <w:pPr>
        <w:pStyle w:val="ListBullet"/>
      </w:pPr>
      <w:r w:rsidRPr="00D62011">
        <w:t>hi</w:t>
      </w:r>
      <w:r w:rsidRPr="00D62011">
        <w:t>gh wind area</w:t>
      </w:r>
    </w:p>
    <w:p w:rsidR="00000000" w:rsidRPr="00D62011" w:rsidP="00D62011">
      <w:pPr>
        <w:pStyle w:val="ListBullet"/>
      </w:pPr>
      <w:r w:rsidRPr="00D62011">
        <w:t>highly corrosive area (within 1 kilometre of the ocean)</w:t>
      </w:r>
    </w:p>
    <w:p w:rsidR="00000000" w:rsidRPr="00D62011" w:rsidP="00D62011">
      <w:pPr>
        <w:pStyle w:val="ListBullet"/>
      </w:pPr>
      <w:r w:rsidRPr="00D62011">
        <w:t>bushfire-prone area</w:t>
      </w:r>
    </w:p>
    <w:p w:rsidR="00000000" w:rsidRPr="00D62011" w:rsidP="00D62011">
      <w:pPr>
        <w:pStyle w:val="ListBullet"/>
      </w:pPr>
      <w:r w:rsidRPr="00D62011">
        <w:t>cyclone area</w:t>
      </w:r>
    </w:p>
    <w:p w:rsidR="00000000" w:rsidRPr="00D62011" w:rsidP="00D62011">
      <w:pPr>
        <w:pStyle w:val="ListBullet"/>
      </w:pPr>
      <w:r w:rsidRPr="00D62011">
        <w:t>earthquake area</w:t>
      </w:r>
    </w:p>
    <w:p w:rsidR="00000000" w:rsidRPr="00D62011" w:rsidP="00D62011">
      <w:pPr>
        <w:pStyle w:val="ListBullet"/>
      </w:pPr>
      <w:r w:rsidRPr="00D62011">
        <w:t>alpine area</w:t>
      </w:r>
    </w:p>
    <w:p w:rsidR="00000000" w:rsidRPr="00D62011" w:rsidP="00D62011">
      <w:pPr>
        <w:pStyle w:val="ListBullet"/>
      </w:pPr>
      <w:r w:rsidRPr="00D62011">
        <w:t>metropolitan area.</w:t>
      </w:r>
    </w:p>
    <w:p w:rsidR="00000000" w:rsidRPr="00D62011" w:rsidP="00602B20">
      <w:pPr>
        <w:pStyle w:val="BodyText"/>
      </w:pPr>
      <w:r w:rsidRPr="00D62011">
        <w:t>For each building, the candidate must evaluate:</w:t>
      </w:r>
    </w:p>
    <w:p w:rsidR="00000000" w:rsidRPr="00D62011" w:rsidP="00D62011">
      <w:pPr>
        <w:pStyle w:val="ListBullet"/>
      </w:pPr>
      <w:r w:rsidRPr="00D62011">
        <w:t>construction methods and materials in relation to different geographical locations and climatic conditions and note strengths and weaknesses of each context</w:t>
      </w:r>
    </w:p>
    <w:p w:rsidR="00000000" w:rsidRPr="00D62011" w:rsidP="00D62011">
      <w:pPr>
        <w:pStyle w:val="ListBullet"/>
      </w:pPr>
      <w:r w:rsidRPr="00D62011">
        <w:t>the application of different construction methods to:</w:t>
      </w:r>
    </w:p>
    <w:p w:rsidR="00000000" w:rsidRPr="00D62011" w:rsidP="00D62011">
      <w:pPr>
        <w:pStyle w:val="ListBullet2"/>
      </w:pPr>
      <w:r w:rsidRPr="00D62011">
        <w:t>foundations and footings</w:t>
      </w:r>
    </w:p>
    <w:p w:rsidR="00000000" w:rsidRPr="00D62011" w:rsidP="00D62011">
      <w:pPr>
        <w:pStyle w:val="ListBullet2"/>
      </w:pPr>
      <w:r w:rsidRPr="00D62011">
        <w:t>structural and supp</w:t>
      </w:r>
      <w:r w:rsidRPr="00D62011">
        <w:t>orting systems</w:t>
      </w:r>
    </w:p>
    <w:p w:rsidR="00000000" w:rsidRPr="00D62011" w:rsidP="00D62011">
      <w:pPr>
        <w:pStyle w:val="ListBullet2"/>
      </w:pPr>
      <w:r w:rsidRPr="00D62011">
        <w:t>enclosing systems</w:t>
      </w:r>
    </w:p>
    <w:p w:rsidR="00000000" w:rsidRPr="00D62011" w:rsidP="00D62011">
      <w:pPr>
        <w:pStyle w:val="ListBullet2"/>
      </w:pPr>
      <w:r w:rsidRPr="00D62011">
        <w:t>fire safety</w:t>
      </w:r>
    </w:p>
    <w:p w:rsidR="00000000" w:rsidRPr="00D62011" w:rsidP="00D62011">
      <w:pPr>
        <w:pStyle w:val="ListBullet2"/>
      </w:pPr>
      <w:r w:rsidRPr="00D62011">
        <w:t>health and amenity</w:t>
      </w:r>
    </w:p>
    <w:p w:rsidR="00000000" w:rsidRPr="00D62011" w:rsidP="00D62011">
      <w:pPr>
        <w:pStyle w:val="ListBullet2"/>
      </w:pPr>
      <w:r w:rsidRPr="00D62011">
        <w:t>safe movement and access</w:t>
      </w:r>
    </w:p>
    <w:p w:rsidR="00000000" w:rsidRPr="00D62011" w:rsidP="00D62011">
      <w:pPr>
        <w:pStyle w:val="ListBullet2"/>
      </w:pPr>
      <w:r w:rsidRPr="00D62011">
        <w:t>energy efficiency</w:t>
      </w:r>
    </w:p>
    <w:p w:rsidR="00000000" w:rsidRPr="00D62011" w:rsidP="00D62011">
      <w:pPr>
        <w:pStyle w:val="ListBullet"/>
      </w:pPr>
      <w:r w:rsidRPr="00D62011">
        <w:t>construction processes in relation to trade sequencing</w:t>
      </w:r>
    </w:p>
    <w:p w:rsidR="00000000" w:rsidRPr="00D62011" w:rsidP="00D62011">
      <w:pPr>
        <w:pStyle w:val="ListBullet"/>
      </w:pPr>
      <w:r w:rsidRPr="00D62011">
        <w:t>the application of different construction materials to:</w:t>
      </w:r>
    </w:p>
    <w:p w:rsidR="00000000" w:rsidRPr="00D62011" w:rsidP="00D62011">
      <w:pPr>
        <w:pStyle w:val="ListBullet2"/>
      </w:pPr>
      <w:r w:rsidRPr="00D62011">
        <w:t>foundations and footings</w:t>
      </w:r>
    </w:p>
    <w:p w:rsidR="00000000" w:rsidRPr="00D62011" w:rsidP="00D62011">
      <w:pPr>
        <w:pStyle w:val="ListBullet2"/>
      </w:pPr>
      <w:r w:rsidRPr="00D62011">
        <w:t>structural and supporting systems</w:t>
      </w:r>
    </w:p>
    <w:p w:rsidR="00000000" w:rsidRPr="00D62011" w:rsidP="00D62011">
      <w:pPr>
        <w:pStyle w:val="ListBullet2"/>
      </w:pPr>
      <w:r w:rsidRPr="00D62011">
        <w:t>enclosing systems.</w:t>
      </w:r>
    </w:p>
    <w:p w:rsidR="00000000" w:rsidRPr="00D62011" w:rsidP="00D62011">
      <w:pPr>
        <w:pStyle w:val="AllowPageBreak"/>
      </w:pPr>
    </w:p>
    <w:p w:rsidR="00000000" w:rsidRPr="00D62011" w:rsidP="00D62011">
      <w:pPr>
        <w:pStyle w:val="Heading1"/>
      </w:pPr>
      <w:bookmarkStart w:id="11" w:name="O_1143749"/>
      <w:bookmarkEnd w:id="11"/>
      <w:r w:rsidRPr="00D62011">
        <w:t>Knowledge Evidence</w:t>
      </w:r>
    </w:p>
    <w:p w:rsidR="00000000" w:rsidRPr="00D62011" w:rsidP="00602B20">
      <w:pPr>
        <w:pStyle w:val="BodyText"/>
      </w:pPr>
      <w:r w:rsidRPr="00D62011">
        <w:t>To be competent in this unit, a candidate must demonstrate knowledge of:</w:t>
      </w:r>
    </w:p>
    <w:p w:rsidR="00000000" w:rsidRPr="00D62011" w:rsidP="00D62011">
      <w:pPr>
        <w:pStyle w:val="ListBullet"/>
      </w:pPr>
      <w:r w:rsidRPr="00D62011">
        <w:t>characteristics and applications of materials suitable for structural elements and building</w:t>
      </w:r>
      <w:r w:rsidRPr="00D62011">
        <w:t xml:space="preserve"> envelope of Class 1 and 10 buildings:</w:t>
      </w:r>
    </w:p>
    <w:p w:rsidR="00000000" w:rsidRPr="00D62011" w:rsidP="00D62011">
      <w:pPr>
        <w:pStyle w:val="ListBullet2"/>
      </w:pPr>
      <w:r w:rsidRPr="00D62011">
        <w:t>construction materials in common use:</w:t>
      </w:r>
    </w:p>
    <w:p w:rsidR="00000000" w:rsidRPr="00D62011" w:rsidP="00D62011">
      <w:pPr>
        <w:pStyle w:val="ListBullet3"/>
      </w:pPr>
      <w:r w:rsidRPr="00D62011">
        <w:t>adhesives and sealants</w:t>
      </w:r>
    </w:p>
    <w:p w:rsidR="00000000" w:rsidRPr="00D62011" w:rsidP="00D62011">
      <w:pPr>
        <w:pStyle w:val="ListBullet3"/>
      </w:pPr>
      <w:r w:rsidRPr="00D62011">
        <w:t>admixtures</w:t>
      </w:r>
    </w:p>
    <w:p w:rsidR="00000000" w:rsidRPr="00D62011" w:rsidP="00D62011">
      <w:pPr>
        <w:pStyle w:val="ListBullet3"/>
      </w:pPr>
      <w:r w:rsidRPr="00D62011">
        <w:t>clay products</w:t>
      </w:r>
    </w:p>
    <w:p w:rsidR="00000000" w:rsidRPr="00D62011" w:rsidP="00D62011">
      <w:pPr>
        <w:pStyle w:val="ListBullet3"/>
      </w:pPr>
      <w:r w:rsidRPr="00D62011">
        <w:t>concrete and concrete products</w:t>
      </w:r>
    </w:p>
    <w:p w:rsidR="00000000" w:rsidRPr="00D62011" w:rsidP="00D62011">
      <w:pPr>
        <w:pStyle w:val="ListBullet3"/>
      </w:pPr>
      <w:r w:rsidRPr="00D62011">
        <w:t>glass</w:t>
      </w:r>
    </w:p>
    <w:p w:rsidR="00000000" w:rsidRPr="00D62011" w:rsidP="00D62011">
      <w:pPr>
        <w:pStyle w:val="ListBullet3"/>
      </w:pPr>
      <w:r w:rsidRPr="00D62011">
        <w:t>masonry</w:t>
      </w:r>
    </w:p>
    <w:p w:rsidR="00000000" w:rsidRPr="00D62011" w:rsidP="00D62011">
      <w:pPr>
        <w:pStyle w:val="ListBullet3"/>
      </w:pPr>
      <w:r w:rsidRPr="00D62011">
        <w:t>metal</w:t>
      </w:r>
    </w:p>
    <w:p w:rsidR="00000000" w:rsidRPr="00D62011" w:rsidP="00D62011">
      <w:pPr>
        <w:pStyle w:val="ListBullet3"/>
      </w:pPr>
      <w:r w:rsidRPr="00D62011">
        <w:t>mortar for load bearing walls</w:t>
      </w:r>
    </w:p>
    <w:p w:rsidR="00000000" w:rsidRPr="00D62011" w:rsidP="00D62011">
      <w:pPr>
        <w:pStyle w:val="ListBullet3"/>
      </w:pPr>
      <w:r w:rsidRPr="00D62011">
        <w:t>plaster and plasterboard</w:t>
      </w:r>
    </w:p>
    <w:p w:rsidR="00000000" w:rsidRPr="00D62011" w:rsidP="00D62011">
      <w:pPr>
        <w:pStyle w:val="ListBullet3"/>
      </w:pPr>
      <w:r w:rsidRPr="00D62011">
        <w:t>plastic</w:t>
      </w:r>
    </w:p>
    <w:p w:rsidR="00000000" w:rsidRPr="00D62011" w:rsidP="00D62011">
      <w:pPr>
        <w:pStyle w:val="ListBullet3"/>
      </w:pPr>
      <w:r w:rsidRPr="00D62011">
        <w:t>pre-stressed structural concrete components</w:t>
      </w:r>
    </w:p>
    <w:p w:rsidR="00000000" w:rsidRPr="00D62011" w:rsidP="00D62011">
      <w:pPr>
        <w:pStyle w:val="ListBullet3"/>
      </w:pPr>
      <w:r w:rsidRPr="00D62011">
        <w:t>protective and fire-rated protective coatings</w:t>
      </w:r>
    </w:p>
    <w:p w:rsidR="00000000" w:rsidRPr="00D62011" w:rsidP="00D62011">
      <w:pPr>
        <w:pStyle w:val="ListBullet3"/>
      </w:pPr>
      <w:r w:rsidRPr="00D62011">
        <w:t>timber and timber products</w:t>
      </w:r>
    </w:p>
    <w:p w:rsidR="00000000" w:rsidRPr="00D62011" w:rsidP="00D62011">
      <w:pPr>
        <w:pStyle w:val="ListBullet3"/>
      </w:pPr>
      <w:r w:rsidRPr="00D62011">
        <w:t>waterproofing</w:t>
      </w:r>
    </w:p>
    <w:p w:rsidR="00000000" w:rsidRPr="00D62011" w:rsidP="00D62011">
      <w:pPr>
        <w:pStyle w:val="ListBullet2"/>
      </w:pPr>
      <w:r w:rsidRPr="00D62011">
        <w:t>suitability of construction materials for different applications:</w:t>
      </w:r>
    </w:p>
    <w:p w:rsidR="00000000" w:rsidRPr="00D62011" w:rsidP="00D62011">
      <w:pPr>
        <w:pStyle w:val="ListBullet3"/>
      </w:pPr>
      <w:r w:rsidRPr="00D62011">
        <w:t>behaviour under stress</w:t>
      </w:r>
    </w:p>
    <w:p w:rsidR="00000000" w:rsidRPr="00D62011" w:rsidP="00D62011">
      <w:pPr>
        <w:pStyle w:val="ListBullet3"/>
      </w:pPr>
      <w:r w:rsidRPr="00D62011">
        <w:t>compatibility with other materials in use</w:t>
      </w:r>
    </w:p>
    <w:p w:rsidR="00000000" w:rsidRPr="00D62011" w:rsidP="00D62011">
      <w:pPr>
        <w:pStyle w:val="ListBullet3"/>
      </w:pPr>
      <w:r w:rsidRPr="00D62011">
        <w:t>cost-effectiveness</w:t>
      </w:r>
    </w:p>
    <w:p w:rsidR="00000000" w:rsidRPr="00D62011" w:rsidP="00D62011">
      <w:pPr>
        <w:pStyle w:val="ListBullet3"/>
      </w:pPr>
      <w:r w:rsidRPr="00D62011">
        <w:t>durability</w:t>
      </w:r>
    </w:p>
    <w:p w:rsidR="00000000" w:rsidRPr="00D62011" w:rsidP="00D62011">
      <w:pPr>
        <w:pStyle w:val="ListBullet3"/>
      </w:pPr>
      <w:r w:rsidRPr="00D62011">
        <w:t>energy efficiency</w:t>
      </w:r>
    </w:p>
    <w:p w:rsidR="00000000" w:rsidRPr="00D62011" w:rsidP="00D62011">
      <w:pPr>
        <w:pStyle w:val="ListBullet3"/>
      </w:pPr>
      <w:r w:rsidRPr="00D62011">
        <w:t>environmental impact</w:t>
      </w:r>
    </w:p>
    <w:p w:rsidR="00000000" w:rsidRPr="00D62011" w:rsidP="00D62011">
      <w:pPr>
        <w:pStyle w:val="ListBullet3"/>
      </w:pPr>
      <w:r w:rsidRPr="00D62011">
        <w:t>fire resistance</w:t>
      </w:r>
    </w:p>
    <w:p w:rsidR="00000000" w:rsidRPr="00D62011" w:rsidP="00D62011">
      <w:pPr>
        <w:pStyle w:val="ListBullet3"/>
      </w:pPr>
      <w:r w:rsidRPr="00D62011">
        <w:t>standards</w:t>
      </w:r>
    </w:p>
    <w:p w:rsidR="00000000" w:rsidRPr="00D62011" w:rsidP="00D62011">
      <w:pPr>
        <w:pStyle w:val="ListBullet3"/>
      </w:pPr>
      <w:r w:rsidRPr="00D62011">
        <w:t xml:space="preserve">structural suitability </w:t>
      </w:r>
    </w:p>
    <w:p w:rsidR="00000000" w:rsidRPr="00D62011" w:rsidP="00D62011">
      <w:pPr>
        <w:pStyle w:val="ListBullet3"/>
      </w:pPr>
      <w:r w:rsidRPr="00D62011">
        <w:t>sustainability</w:t>
      </w:r>
    </w:p>
    <w:p w:rsidR="00000000" w:rsidRPr="00D62011" w:rsidP="00D62011">
      <w:pPr>
        <w:pStyle w:val="ListBullet3"/>
      </w:pPr>
      <w:r w:rsidRPr="00D62011">
        <w:t>visual characteristics</w:t>
      </w:r>
    </w:p>
    <w:p w:rsidR="00000000" w:rsidRPr="00D62011" w:rsidP="00D62011">
      <w:pPr>
        <w:pStyle w:val="ListBullet"/>
      </w:pPr>
      <w:r w:rsidRPr="00D62011">
        <w:t>compliance requirements of construction materials and me</w:t>
      </w:r>
      <w:r w:rsidRPr="00D62011">
        <w:t>thods for Class 1 and 10 buildings in different geographic locations and climate zones:</w:t>
      </w:r>
    </w:p>
    <w:p w:rsidR="00000000" w:rsidRPr="00D62011" w:rsidP="00D62011">
      <w:pPr>
        <w:pStyle w:val="ListBullet2"/>
      </w:pPr>
      <w:r w:rsidRPr="00D62011">
        <w:t>NCC</w:t>
      </w:r>
    </w:p>
    <w:p w:rsidR="00000000" w:rsidRPr="00D62011" w:rsidP="00D62011">
      <w:pPr>
        <w:pStyle w:val="ListBullet2"/>
      </w:pPr>
      <w:r w:rsidRPr="00D62011">
        <w:t>Australian Standards referenced by the NCC</w:t>
      </w:r>
    </w:p>
    <w:p w:rsidR="00000000" w:rsidRPr="00D62011" w:rsidP="00D62011">
      <w:pPr>
        <w:pStyle w:val="ListBullet"/>
      </w:pPr>
      <w:r w:rsidRPr="00D62011">
        <w:t>components and systems for services associated with Class 1 and 10 buildings:</w:t>
      </w:r>
    </w:p>
    <w:p w:rsidR="00000000" w:rsidRPr="00D62011" w:rsidP="00D62011">
      <w:pPr>
        <w:pStyle w:val="ListBullet2"/>
      </w:pPr>
      <w:r w:rsidRPr="00D62011">
        <w:t>compliance requirements</w:t>
      </w:r>
    </w:p>
    <w:p w:rsidR="00000000" w:rsidRPr="00D62011" w:rsidP="00D62011">
      <w:pPr>
        <w:pStyle w:val="ListBullet2"/>
      </w:pPr>
      <w:r w:rsidRPr="00D62011">
        <w:t>installation methods</w:t>
      </w:r>
    </w:p>
    <w:p w:rsidR="00000000" w:rsidRPr="00D62011" w:rsidP="00D62011">
      <w:pPr>
        <w:pStyle w:val="ListBullet"/>
      </w:pPr>
      <w:r w:rsidRPr="00D62011">
        <w:t>different construction methods and systems for Class 1 and 10 buildings applicable to:</w:t>
      </w:r>
    </w:p>
    <w:p w:rsidR="00000000" w:rsidRPr="00D62011" w:rsidP="00D62011">
      <w:pPr>
        <w:pStyle w:val="ListBullet2"/>
      </w:pPr>
      <w:r w:rsidRPr="00D62011">
        <w:t>methods for site investigation and preparation:</w:t>
      </w:r>
    </w:p>
    <w:p w:rsidR="00000000" w:rsidRPr="00D62011" w:rsidP="00D62011">
      <w:pPr>
        <w:pStyle w:val="ListBullet3"/>
      </w:pPr>
      <w:r w:rsidRPr="00D62011">
        <w:t>principles and practices of site establishment: drainage, earthworks and pest risk management</w:t>
      </w:r>
    </w:p>
    <w:p w:rsidR="00000000" w:rsidRPr="00D62011" w:rsidP="00D62011">
      <w:pPr>
        <w:pStyle w:val="ListBullet3"/>
      </w:pPr>
      <w:r w:rsidRPr="00D62011">
        <w:t>soil investigation, assessment and clarification</w:t>
      </w:r>
    </w:p>
    <w:p w:rsidR="00000000" w:rsidRPr="00D62011" w:rsidP="00D62011">
      <w:pPr>
        <w:pStyle w:val="ListBullet2"/>
      </w:pPr>
      <w:r w:rsidRPr="00D62011">
        <w:t>structural and supporting systems:</w:t>
      </w:r>
    </w:p>
    <w:p w:rsidR="00000000" w:rsidRPr="00D62011" w:rsidP="00D62011">
      <w:pPr>
        <w:pStyle w:val="ListBullet3"/>
      </w:pPr>
      <w:r w:rsidRPr="00D62011">
        <w:t>masonry systems: earthwall construction, reinforced and unreinforced masonry and weatherproofing</w:t>
      </w:r>
    </w:p>
    <w:p w:rsidR="00000000" w:rsidRPr="00D62011" w:rsidP="00D62011">
      <w:pPr>
        <w:pStyle w:val="ListBullet3"/>
      </w:pPr>
      <w:r w:rsidRPr="00D62011">
        <w:t>systems for floors, roofs, sub-floor ventilation and walls</w:t>
      </w:r>
    </w:p>
    <w:p w:rsidR="00000000" w:rsidRPr="00D62011" w:rsidP="00D62011">
      <w:pPr>
        <w:pStyle w:val="ListBullet2"/>
      </w:pPr>
      <w:r w:rsidRPr="00D62011">
        <w:t>enclosing sys</w:t>
      </w:r>
      <w:r w:rsidRPr="00D62011">
        <w:t>tems:</w:t>
      </w:r>
    </w:p>
    <w:p w:rsidR="00000000" w:rsidRPr="00D62011" w:rsidP="00D62011">
      <w:pPr>
        <w:pStyle w:val="ListBullet3"/>
      </w:pPr>
      <w:r w:rsidRPr="00D62011">
        <w:t>glazing</w:t>
      </w:r>
    </w:p>
    <w:p w:rsidR="00000000" w:rsidRPr="00D62011" w:rsidP="00D62011">
      <w:pPr>
        <w:pStyle w:val="ListBullet3"/>
      </w:pPr>
      <w:r w:rsidRPr="00D62011">
        <w:t>gutters and downpipes</w:t>
      </w:r>
    </w:p>
    <w:p w:rsidR="00000000" w:rsidRPr="00D62011" w:rsidP="00D62011">
      <w:pPr>
        <w:pStyle w:val="ListBullet3"/>
      </w:pPr>
      <w:r w:rsidRPr="00D62011">
        <w:t>roof and wall cladding</w:t>
      </w:r>
    </w:p>
    <w:p w:rsidR="00000000" w:rsidRPr="00D62011" w:rsidP="00D62011">
      <w:pPr>
        <w:pStyle w:val="ListBullet2"/>
      </w:pPr>
      <w:r w:rsidRPr="00D62011">
        <w:t>fire safety:</w:t>
      </w:r>
    </w:p>
    <w:p w:rsidR="00000000" w:rsidRPr="00D62011" w:rsidP="00D62011">
      <w:pPr>
        <w:pStyle w:val="ListBullet3"/>
      </w:pPr>
      <w:r w:rsidRPr="00D62011">
        <w:t>clearances and protection from heating appliances</w:t>
      </w:r>
    </w:p>
    <w:p w:rsidR="00000000" w:rsidRPr="00D62011" w:rsidP="00D62011">
      <w:pPr>
        <w:pStyle w:val="ListBullet3"/>
      </w:pPr>
      <w:r w:rsidRPr="00D62011">
        <w:t>fire separation</w:t>
      </w:r>
    </w:p>
    <w:p w:rsidR="00000000" w:rsidRPr="00D62011" w:rsidP="00D62011">
      <w:pPr>
        <w:pStyle w:val="ListBullet3"/>
      </w:pPr>
      <w:r w:rsidRPr="00D62011">
        <w:t>requirements for bushfire areas</w:t>
      </w:r>
    </w:p>
    <w:p w:rsidR="00000000" w:rsidRPr="00D62011" w:rsidP="00D62011">
      <w:pPr>
        <w:pStyle w:val="ListBullet3"/>
      </w:pPr>
      <w:r w:rsidRPr="00D62011">
        <w:t>smoke alarms</w:t>
      </w:r>
    </w:p>
    <w:p w:rsidR="00000000" w:rsidRPr="00D62011" w:rsidP="00D62011">
      <w:pPr>
        <w:pStyle w:val="ListBullet2"/>
      </w:pPr>
      <w:r w:rsidRPr="00D62011">
        <w:t>health and amenity:</w:t>
      </w:r>
    </w:p>
    <w:p w:rsidR="00000000" w:rsidRPr="00D62011" w:rsidP="00D62011">
      <w:pPr>
        <w:pStyle w:val="ListBullet3"/>
      </w:pPr>
      <w:r w:rsidRPr="00D62011">
        <w:t>facilities</w:t>
      </w:r>
    </w:p>
    <w:p w:rsidR="00000000" w:rsidRPr="00D62011" w:rsidP="00D62011">
      <w:pPr>
        <w:pStyle w:val="ListBullet3"/>
      </w:pPr>
      <w:r w:rsidRPr="00D62011">
        <w:t>light</w:t>
      </w:r>
    </w:p>
    <w:p w:rsidR="00000000" w:rsidRPr="00D62011" w:rsidP="00D62011">
      <w:pPr>
        <w:pStyle w:val="ListBullet3"/>
      </w:pPr>
      <w:r w:rsidRPr="00D62011">
        <w:t>room heights</w:t>
      </w:r>
    </w:p>
    <w:p w:rsidR="00000000" w:rsidRPr="00D62011" w:rsidP="00D62011">
      <w:pPr>
        <w:pStyle w:val="ListBullet3"/>
      </w:pPr>
      <w:r w:rsidRPr="00D62011">
        <w:t>sound insulation</w:t>
      </w:r>
    </w:p>
    <w:p w:rsidR="00000000" w:rsidRPr="00D62011" w:rsidP="00D62011">
      <w:pPr>
        <w:pStyle w:val="ListBullet3"/>
      </w:pPr>
      <w:r w:rsidRPr="00D62011">
        <w:t>ventilation</w:t>
      </w:r>
    </w:p>
    <w:p w:rsidR="00000000" w:rsidRPr="00D62011" w:rsidP="00D62011">
      <w:pPr>
        <w:pStyle w:val="ListBullet3"/>
      </w:pPr>
      <w:r w:rsidRPr="00D62011">
        <w:t>wet areas</w:t>
      </w:r>
    </w:p>
    <w:p w:rsidR="00000000" w:rsidRPr="00D62011" w:rsidP="00D62011">
      <w:pPr>
        <w:pStyle w:val="ListBullet2"/>
      </w:pPr>
      <w:r w:rsidRPr="00D62011">
        <w:t>safe movement and access:</w:t>
      </w:r>
    </w:p>
    <w:p w:rsidR="00000000" w:rsidRPr="00D62011" w:rsidP="00D62011">
      <w:pPr>
        <w:pStyle w:val="ListBullet3"/>
      </w:pPr>
      <w:r w:rsidRPr="00D62011">
        <w:t>balustrades</w:t>
      </w:r>
    </w:p>
    <w:p w:rsidR="00000000" w:rsidRPr="00D62011" w:rsidP="00D62011">
      <w:pPr>
        <w:pStyle w:val="ListBullet3"/>
      </w:pPr>
      <w:r w:rsidRPr="00D62011">
        <w:t>stair construction</w:t>
      </w:r>
    </w:p>
    <w:p w:rsidR="00000000" w:rsidRPr="00D62011" w:rsidP="00D62011">
      <w:pPr>
        <w:pStyle w:val="ListBullet3"/>
      </w:pPr>
      <w:r w:rsidRPr="00D62011">
        <w:t>swimming pool access</w:t>
      </w:r>
    </w:p>
    <w:p w:rsidR="00000000" w:rsidRPr="00D62011" w:rsidP="00D62011">
      <w:pPr>
        <w:pStyle w:val="ListBullet2"/>
      </w:pPr>
      <w:r w:rsidRPr="00D62011">
        <w:t>energy efficiency:</w:t>
      </w:r>
    </w:p>
    <w:p w:rsidR="00000000" w:rsidRPr="00D62011" w:rsidP="00D62011">
      <w:pPr>
        <w:pStyle w:val="ListBullet3"/>
      </w:pPr>
      <w:r w:rsidRPr="00D62011">
        <w:t>air movement</w:t>
      </w:r>
    </w:p>
    <w:p w:rsidR="00000000" w:rsidRPr="00D62011" w:rsidP="00D62011">
      <w:pPr>
        <w:pStyle w:val="ListBullet3"/>
      </w:pPr>
      <w:r w:rsidRPr="00D62011">
        <w:t>building fabric</w:t>
      </w:r>
    </w:p>
    <w:p w:rsidR="00000000" w:rsidRPr="00D62011" w:rsidP="00D62011">
      <w:pPr>
        <w:pStyle w:val="ListBullet3"/>
      </w:pPr>
      <w:r w:rsidRPr="00D62011">
        <w:t>building sealing and insulation</w:t>
      </w:r>
    </w:p>
    <w:p w:rsidR="00000000" w:rsidRPr="00D62011" w:rsidP="00D62011">
      <w:pPr>
        <w:pStyle w:val="ListBullet3"/>
      </w:pPr>
      <w:r w:rsidRPr="00D62011">
        <w:t>external glazing</w:t>
      </w:r>
    </w:p>
    <w:p w:rsidR="00000000" w:rsidRPr="00D62011" w:rsidP="00D62011">
      <w:pPr>
        <w:pStyle w:val="ListBullet3"/>
      </w:pPr>
      <w:r w:rsidRPr="00D62011">
        <w:t>services</w:t>
      </w:r>
    </w:p>
    <w:p w:rsidR="00000000" w:rsidRPr="00D62011" w:rsidP="00D62011">
      <w:pPr>
        <w:pStyle w:val="ListBullet"/>
      </w:pPr>
      <w:r w:rsidRPr="00D62011">
        <w:t>information management procedures to</w:t>
      </w:r>
      <w:r w:rsidRPr="00D62011">
        <w:t xml:space="preserve"> maintain data currency, and classify and store information for easy retrieval</w:t>
      </w:r>
    </w:p>
    <w:p w:rsidR="00000000" w:rsidRPr="00D62011" w:rsidP="00D62011">
      <w:pPr>
        <w:pStyle w:val="ListBullet"/>
      </w:pPr>
      <w:r w:rsidRPr="00D62011">
        <w:t>NCC classifications and definitions for Class 1 and 10 buildings</w:t>
      </w:r>
    </w:p>
    <w:p w:rsidR="00000000" w:rsidRPr="00D62011" w:rsidP="00D62011">
      <w:pPr>
        <w:pStyle w:val="ListBullet"/>
      </w:pPr>
      <w:r w:rsidRPr="00D62011">
        <w:t>structural engineering principles sufficient to interpret and apply NCC requirements to work activities</w:t>
      </w:r>
    </w:p>
    <w:p w:rsidR="00000000" w:rsidRPr="00D62011" w:rsidP="00D62011">
      <w:pPr>
        <w:pStyle w:val="ListBullet"/>
      </w:pPr>
      <w:r w:rsidRPr="00D62011">
        <w:t>types an</w:t>
      </w:r>
      <w:r w:rsidRPr="00D62011">
        <w:t>d sources of reliable information on traditional, new and emerging uses of construction materials and methods.</w:t>
      </w:r>
    </w:p>
    <w:p w:rsidR="00000000" w:rsidRPr="00D62011" w:rsidP="00D62011">
      <w:pPr>
        <w:pStyle w:val="AllowPageBreak"/>
      </w:pPr>
    </w:p>
    <w:p w:rsidR="00000000" w:rsidRPr="00D62011" w:rsidP="00D62011">
      <w:pPr>
        <w:pStyle w:val="Heading1"/>
      </w:pPr>
      <w:bookmarkStart w:id="12" w:name="O_1143748"/>
      <w:bookmarkEnd w:id="12"/>
      <w:r w:rsidRPr="00D62011">
        <w:t>Assessment Conditions</w:t>
      </w:r>
    </w:p>
    <w:p w:rsidR="00000000" w:rsidRPr="00D62011" w:rsidP="00602B20">
      <w:pPr>
        <w:pStyle w:val="BodyText"/>
      </w:pPr>
      <w:r w:rsidRPr="00D62011">
        <w:t>Assessors must meet the requirements for assessors contained in the Standards for Registered Training Or</w:t>
      </w:r>
      <w:r w:rsidRPr="00D62011">
        <w:t xml:space="preserve">ganisations. </w:t>
      </w:r>
    </w:p>
    <w:p w:rsidR="00000000" w:rsidRPr="00D62011" w:rsidP="00602B20">
      <w:pPr>
        <w:pStyle w:val="BodyText"/>
      </w:pPr>
      <w:r w:rsidRPr="00D62011">
        <w:t>Assessors must also:</w:t>
      </w:r>
    </w:p>
    <w:p w:rsidR="00000000" w:rsidRPr="00D62011" w:rsidP="00D62011">
      <w:pPr>
        <w:pStyle w:val="ListBullet"/>
      </w:pPr>
      <w:r w:rsidRPr="00D62011">
        <w:t>be licensed as a Building Surveyor Level 1 (or equivalent) or Level 2 (or equivalent) in their state or territory, or</w:t>
      </w:r>
    </w:p>
    <w:p w:rsidR="00000000" w:rsidRPr="00D62011" w:rsidP="00D62011">
      <w:pPr>
        <w:pStyle w:val="ListBullet"/>
      </w:pPr>
      <w:r w:rsidRPr="00D62011">
        <w:t>demonstrate current membership of a relevant industry association and have current registration on the National Building Professionals Register in the Building Industry Control category (level 1), or</w:t>
      </w:r>
    </w:p>
    <w:p w:rsidR="00000000" w:rsidRPr="00D62011" w:rsidP="00D62011">
      <w:pPr>
        <w:pStyle w:val="ListBullet"/>
      </w:pPr>
      <w:r w:rsidRPr="00D62011">
        <w:t>be accredited under the Australian Institute of Building</w:t>
      </w:r>
      <w:r w:rsidRPr="00D62011">
        <w:t xml:space="preserve"> Surveyors (AIBS) National Accreditation Scheme at Building Surveyor level or be accredited by the Royal Institute of Chartered Surveyors as a building certifier.</w:t>
      </w:r>
    </w:p>
    <w:p w:rsidR="00000000" w:rsidRPr="00D62011" w:rsidP="00602B20">
      <w:pPr>
        <w:pStyle w:val="BodyText"/>
      </w:pPr>
      <w:r w:rsidRPr="00D62011">
        <w:t>Assessment must be conducted in the workplace or a simulated workplace using realistic condit</w:t>
      </w:r>
      <w:r w:rsidRPr="00D62011">
        <w:t>ions, materials, activities, responsibilities, procedures, safety requirements and environmental considerations.</w:t>
      </w:r>
    </w:p>
    <w:p w:rsidR="00000000" w:rsidRPr="00D62011" w:rsidP="00602B20">
      <w:pPr>
        <w:pStyle w:val="BodyText"/>
      </w:pPr>
      <w:r w:rsidRPr="00D62011">
        <w:t>Candidates must have access to equipment, software, documentation and materials required to achieve the performance evidence.</w:t>
      </w:r>
    </w:p>
    <w:p w:rsidR="00000000" w:rsidRPr="00D62011" w:rsidP="00D62011">
      <w:pPr>
        <w:pStyle w:val="Heading1"/>
      </w:pPr>
      <w:bookmarkStart w:id="13" w:name="O_1143746"/>
      <w:bookmarkEnd w:id="13"/>
      <w:r w:rsidRPr="00D62011">
        <w:t>Links</w:t>
      </w:r>
    </w:p>
    <w:p w:rsidR="00000000" w:rsidRPr="00D62011" w:rsidP="00602B20">
      <w:pPr>
        <w:pStyle w:val="BodyText"/>
      </w:pPr>
      <w:r w:rsidRPr="00D62011">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3D02D9">
        <w:rPr>
          <w:rStyle w:val="Hyperlink"/>
        </w:rPr>
        <w:t>https://vetnet.gov.au/Pages/TrainingDocs.aspx?q=7e15fa6a-68b8-4097-b099-030a5569b1ad</w:t>
      </w:r>
      <w:r>
        <w:fldChar w:fldCharType="end"/>
      </w:r>
    </w:p>
    <w:p w:rsidR="00000000" w:rsidRPr="00D62011" w:rsidP="00D62011"/>
    <w:sectPr w:rsidSect="00D620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0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011" w:rsidRPr="00602B20" w:rsidP="00602B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0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B20" w:rsidP="00D620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02B20" w:rsidP="00D620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02B20" w:rsidP="00D620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011" w:rsidP="00D62011">
    <w:pPr>
      <w:pStyle w:val="Footer"/>
      <w:framePr w:wrap="around"/>
    </w:pPr>
    <w:r>
      <w:fldChar w:fldCharType="begin"/>
    </w:r>
    <w:r>
      <w:instrText xml:space="preserve"> DOCPROPERTY  Subject  \* MERGEFORMAT </w:instrText>
    </w:r>
    <w:r>
      <w:fldChar w:fldCharType="separate"/>
    </w:r>
    <w:r w:rsidR="00602B20">
      <w:t>Approved</w:t>
    </w:r>
    <w:r w:rsidR="00602B20">
      <w:fldChar w:fldCharType="end"/>
    </w:r>
    <w:r>
      <w:tab/>
      <w:t xml:space="preserve">Page </w:t>
    </w:r>
    <w:r>
      <w:fldChar w:fldCharType="begin"/>
    </w:r>
    <w:r>
      <w:instrText xml:space="preserve"> PAGE  \* Arabic  \* MERGEFORMAT </w:instrText>
    </w:r>
    <w:r>
      <w:fldChar w:fldCharType="separate"/>
    </w:r>
    <w:r w:rsidR="00602B2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2B20">
      <w:rPr>
        <w:noProof/>
      </w:rPr>
      <w:t>5</w:t>
    </w:r>
    <w:r>
      <w:rPr>
        <w:noProof/>
      </w:rPr>
      <w:fldChar w:fldCharType="end"/>
    </w:r>
  </w:p>
  <w:p w:rsidR="00D62011" w:rsidP="00D62011">
    <w:pPr>
      <w:pStyle w:val="Footer"/>
      <w:framePr w:wrap="around"/>
    </w:pPr>
    <w:r>
      <w:t xml:space="preserve">© Commonwealth of Australia, </w:t>
    </w:r>
    <w:r>
      <w:fldChar w:fldCharType="begin"/>
    </w:r>
    <w:r>
      <w:instrText xml:space="preserve"> DATE  \@ "yyyy"  \* MERGEFORMAT </w:instrText>
    </w:r>
    <w:r>
      <w:fldChar w:fldCharType="separate"/>
    </w:r>
    <w:r w:rsidR="00602B20">
      <w:rPr>
        <w:noProof/>
      </w:rPr>
      <w:t>2025</w:t>
    </w:r>
    <w:r>
      <w:fldChar w:fldCharType="end"/>
    </w:r>
    <w:r>
      <w:tab/>
    </w:r>
    <w:r>
      <w:fldChar w:fldCharType="begin"/>
    </w:r>
    <w:r>
      <w:instrText xml:space="preserve"> DOCPROPERTY  Author  \* MERGEFORMAT </w:instrText>
    </w:r>
    <w:r>
      <w:fldChar w:fldCharType="separate"/>
    </w:r>
    <w:r w:rsidR="00602B20">
      <w:t>BuildSkills Australia</w:t>
    </w:r>
    <w:r w:rsidR="00602B20">
      <w:fldChar w:fldCharType="end"/>
    </w:r>
  </w:p>
  <w:p w:rsidR="00D62011" w:rsidP="00D620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0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B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2011" w:rsidRPr="00602B20" w:rsidP="00602B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0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B20" w:rsidRPr="002D2AF8" w:rsidP="00D62011">
    <w:pPr>
      <w:pStyle w:val="Header"/>
      <w:framePr w:wrap="around"/>
    </w:pPr>
    <w:r>
      <w:fldChar w:fldCharType="begin"/>
    </w:r>
    <w:r>
      <w:instrText xml:space="preserve"> TITLE   \* MERGEFORMAT </w:instrText>
    </w:r>
    <w:r>
      <w:fldChar w:fldCharType="separate"/>
    </w:r>
    <w:r>
      <w:t>CPCCBS6101 Research and evaluate construction methods and materials for Class 1 and 10 buildings to three store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02B20" w:rsidP="00D620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011" w:rsidRPr="002D2AF8" w:rsidP="00D62011">
    <w:pPr>
      <w:pStyle w:val="Header"/>
      <w:framePr w:wrap="around"/>
    </w:pPr>
    <w:r>
      <w:fldChar w:fldCharType="begin"/>
    </w:r>
    <w:r>
      <w:instrText xml:space="preserve"> TITLE   \* MERGEFORMAT </w:instrText>
    </w:r>
    <w:r>
      <w:fldChar w:fldCharType="separate"/>
    </w:r>
    <w:r w:rsidR="00602B20">
      <w:t>CPCCBS6101 Research and evaluate construction methods and materials for Class 1 and 10 buildings to three store</w:t>
    </w:r>
    <w:r w:rsidR="00602B20">
      <w:fldChar w:fldCharType="end"/>
    </w:r>
    <w:r>
      <w:tab/>
      <w:t xml:space="preserve">Date this document was generated: </w:t>
    </w:r>
    <w:r>
      <w:fldChar w:fldCharType="begin"/>
    </w:r>
    <w:r>
      <w:instrText xml:space="preserve"> CREATEDATE  \@ "d MMMM yyyy"  \* MERGEFORMAT </w:instrText>
    </w:r>
    <w:r>
      <w:fldChar w:fldCharType="separate"/>
    </w:r>
    <w:r w:rsidR="00602B20">
      <w:rPr>
        <w:noProof/>
      </w:rPr>
      <w:t>2 March 2025</w:t>
    </w:r>
    <w:r>
      <w:fldChar w:fldCharType="end"/>
    </w:r>
  </w:p>
  <w:p w:rsidR="00D62011" w:rsidP="00D620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DAF5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72EE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F2CE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0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2011"/>
    <w:pPr>
      <w:spacing w:before="360" w:after="60"/>
      <w:outlineLvl w:val="0"/>
    </w:pPr>
    <w:rPr>
      <w:sz w:val="32"/>
    </w:rPr>
  </w:style>
  <w:style w:type="paragraph" w:styleId="Heading2">
    <w:name w:val="heading 2"/>
    <w:basedOn w:val="HeadingBase"/>
    <w:next w:val="BodyText"/>
    <w:link w:val="Heading2Char"/>
    <w:qFormat/>
    <w:rsid w:val="00D62011"/>
    <w:pPr>
      <w:keepLines/>
      <w:spacing w:before="240" w:after="120"/>
      <w:outlineLvl w:val="1"/>
    </w:pPr>
    <w:rPr>
      <w:sz w:val="28"/>
      <w:szCs w:val="40"/>
    </w:rPr>
  </w:style>
  <w:style w:type="paragraph" w:styleId="Heading3">
    <w:name w:val="heading 3"/>
    <w:basedOn w:val="HeadingBase"/>
    <w:next w:val="BodyText"/>
    <w:link w:val="Heading3Char"/>
    <w:qFormat/>
    <w:rsid w:val="00D62011"/>
    <w:pPr>
      <w:spacing w:before="180" w:after="120"/>
      <w:outlineLvl w:val="2"/>
    </w:pPr>
    <w:rPr>
      <w:spacing w:val="-10"/>
      <w:kern w:val="32"/>
    </w:rPr>
  </w:style>
  <w:style w:type="paragraph" w:styleId="Heading4">
    <w:name w:val="heading 4"/>
    <w:basedOn w:val="HeadingBase"/>
    <w:next w:val="BodyText"/>
    <w:link w:val="Heading4Char"/>
    <w:qFormat/>
    <w:rsid w:val="00D62011"/>
    <w:pPr>
      <w:spacing w:before="160" w:after="120"/>
      <w:outlineLvl w:val="3"/>
    </w:pPr>
    <w:rPr>
      <w:sz w:val="22"/>
    </w:rPr>
  </w:style>
  <w:style w:type="paragraph" w:styleId="Heading5">
    <w:name w:val="heading 5"/>
    <w:basedOn w:val="HeadingBase"/>
    <w:next w:val="Normal"/>
    <w:link w:val="Heading5Char"/>
    <w:qFormat/>
    <w:rsid w:val="00D62011"/>
    <w:pPr>
      <w:spacing w:before="80"/>
      <w:outlineLvl w:val="4"/>
    </w:pPr>
    <w:rPr>
      <w:color w:val="918585"/>
      <w:sz w:val="20"/>
    </w:rPr>
  </w:style>
  <w:style w:type="paragraph" w:styleId="Heading6">
    <w:name w:val="heading 6"/>
    <w:basedOn w:val="HeadingBase"/>
    <w:next w:val="Normal"/>
    <w:link w:val="Heading6Char"/>
    <w:qFormat/>
    <w:rsid w:val="00D62011"/>
    <w:pPr>
      <w:spacing w:before="60"/>
      <w:outlineLvl w:val="5"/>
    </w:pPr>
    <w:rPr>
      <w:color w:val="918585"/>
      <w:sz w:val="20"/>
    </w:rPr>
  </w:style>
  <w:style w:type="paragraph" w:styleId="Heading7">
    <w:name w:val="heading 7"/>
    <w:basedOn w:val="Normal"/>
    <w:next w:val="Normal"/>
    <w:link w:val="Heading7Char"/>
    <w:qFormat/>
    <w:rsid w:val="00D62011"/>
    <w:pPr>
      <w:ind w:left="720"/>
      <w:outlineLvl w:val="6"/>
    </w:pPr>
    <w:rPr>
      <w:i/>
    </w:rPr>
  </w:style>
  <w:style w:type="paragraph" w:styleId="Heading8">
    <w:name w:val="heading 8"/>
    <w:basedOn w:val="Normal"/>
    <w:next w:val="Normal"/>
    <w:link w:val="Heading8Char"/>
    <w:qFormat/>
    <w:rsid w:val="00D62011"/>
    <w:pPr>
      <w:ind w:left="720"/>
      <w:outlineLvl w:val="7"/>
    </w:pPr>
    <w:rPr>
      <w:i/>
    </w:rPr>
  </w:style>
  <w:style w:type="paragraph" w:styleId="Heading9">
    <w:name w:val="heading 9"/>
    <w:basedOn w:val="Normal"/>
    <w:next w:val="Normal"/>
    <w:link w:val="Heading9Char"/>
    <w:qFormat/>
    <w:rsid w:val="00D62011"/>
    <w:pPr>
      <w:ind w:left="720"/>
      <w:outlineLvl w:val="8"/>
    </w:pPr>
    <w:rPr>
      <w:i/>
    </w:rPr>
  </w:style>
  <w:style w:type="character" w:default="1" w:styleId="DefaultParagraphFont">
    <w:name w:val="Default Paragraph Font"/>
    <w:uiPriority w:val="1"/>
    <w:unhideWhenUsed/>
    <w:rsid w:val="00D620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2011"/>
  </w:style>
  <w:style w:type="character" w:customStyle="1" w:styleId="Heading1Char">
    <w:name w:val="Heading 1 Char"/>
    <w:basedOn w:val="DefaultParagraphFont"/>
    <w:link w:val="Heading1"/>
    <w:rsid w:val="00D62011"/>
    <w:rPr>
      <w:rFonts w:ascii="Times New Roman" w:eastAsia="Times New Roman" w:hAnsi="Times New Roman" w:cs="Times New Roman"/>
      <w:b/>
      <w:sz w:val="32"/>
      <w:szCs w:val="20"/>
      <w:lang w:eastAsia="en-US"/>
    </w:rPr>
  </w:style>
  <w:style w:type="paragraph" w:styleId="BodyText">
    <w:name w:val="Body Text"/>
    <w:basedOn w:val="Normal"/>
    <w:link w:val="BodyTextChar"/>
    <w:rsid w:val="00D620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2011"/>
    <w:rPr>
      <w:rFonts w:ascii="Times New Roman" w:eastAsia="Times New Roman" w:hAnsi="Times New Roman" w:cs="Times New Roman"/>
      <w:sz w:val="24"/>
      <w:lang w:eastAsia="en-US"/>
    </w:rPr>
  </w:style>
  <w:style w:type="paragraph" w:styleId="ListBullet">
    <w:name w:val="List Bullet"/>
    <w:basedOn w:val="List"/>
    <w:rsid w:val="00D62011"/>
    <w:pPr>
      <w:numPr>
        <w:numId w:val="13"/>
      </w:numPr>
      <w:tabs>
        <w:tab w:val="clear" w:pos="340"/>
      </w:tabs>
      <w:spacing w:before="40" w:after="40"/>
    </w:pPr>
  </w:style>
  <w:style w:type="paragraph" w:styleId="ListBullet2">
    <w:name w:val="List Bullet 2"/>
    <w:basedOn w:val="List2"/>
    <w:rsid w:val="00D62011"/>
    <w:pPr>
      <w:numPr>
        <w:numId w:val="14"/>
      </w:numPr>
      <w:tabs>
        <w:tab w:val="clear" w:pos="680"/>
      </w:tabs>
    </w:pPr>
  </w:style>
  <w:style w:type="paragraph" w:customStyle="1" w:styleId="SuperHeading">
    <w:name w:val="SuperHeading"/>
    <w:basedOn w:val="Normal"/>
    <w:rsid w:val="00D62011"/>
    <w:pPr>
      <w:spacing w:before="240" w:after="120"/>
      <w:outlineLvl w:val="0"/>
    </w:pPr>
    <w:rPr>
      <w:rFonts w:ascii="Times New Roman" w:hAnsi="Times New Roman"/>
      <w:b/>
      <w:sz w:val="32"/>
    </w:rPr>
  </w:style>
  <w:style w:type="paragraph" w:customStyle="1" w:styleId="AllowPageBreak">
    <w:name w:val="AllowPageBreak"/>
    <w:rsid w:val="00D6201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62011"/>
    <w:pPr>
      <w:numPr>
        <w:numId w:val="3"/>
      </w:numPr>
      <w:tabs>
        <w:tab w:val="clear" w:pos="1021"/>
      </w:tabs>
      <w:ind w:left="1037" w:hanging="357"/>
    </w:pPr>
  </w:style>
  <w:style w:type="character" w:customStyle="1" w:styleId="Heading2Char">
    <w:name w:val="Heading 2 Char"/>
    <w:basedOn w:val="DefaultParagraphFont"/>
    <w:link w:val="Heading2"/>
    <w:rsid w:val="00D620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20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20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20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20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20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20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2011"/>
    <w:rPr>
      <w:rFonts w:ascii="Courier New" w:eastAsia="Times New Roman" w:hAnsi="Courier New" w:cs="Times New Roman"/>
      <w:i/>
      <w:szCs w:val="20"/>
      <w:lang w:eastAsia="en-US"/>
    </w:rPr>
  </w:style>
  <w:style w:type="paragraph" w:customStyle="1" w:styleId="HeadingBase">
    <w:name w:val="Heading Base"/>
    <w:rsid w:val="00D620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2011"/>
    <w:pPr>
      <w:tabs>
        <w:tab w:val="right" w:leader="dot" w:pos="9072"/>
      </w:tabs>
      <w:ind w:left="567"/>
    </w:pPr>
    <w:rPr>
      <w:szCs w:val="22"/>
    </w:rPr>
  </w:style>
  <w:style w:type="paragraph" w:customStyle="1" w:styleId="TOCBase">
    <w:name w:val="TOC Base"/>
    <w:rsid w:val="00D620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2011"/>
    <w:pPr>
      <w:tabs>
        <w:tab w:val="right" w:leader="dot" w:pos="9072"/>
      </w:tabs>
      <w:spacing w:before="40" w:after="40"/>
      <w:ind w:left="284"/>
    </w:pPr>
    <w:rPr>
      <w:rFonts w:ascii="Times New Roman" w:hAnsi="Times New Roman"/>
    </w:rPr>
  </w:style>
  <w:style w:type="paragraph" w:styleId="TOC1">
    <w:name w:val="toc 1"/>
    <w:basedOn w:val="TOCBase"/>
    <w:next w:val="Normal"/>
    <w:rsid w:val="00D620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20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2011"/>
    <w:rPr>
      <w:rFonts w:ascii="Times New Roman" w:eastAsia="Times New Roman" w:hAnsi="Times New Roman" w:cs="Times New Roman"/>
      <w:sz w:val="16"/>
      <w:lang w:eastAsia="en-US"/>
    </w:rPr>
  </w:style>
  <w:style w:type="paragraph" w:styleId="Title">
    <w:name w:val="Title"/>
    <w:basedOn w:val="HeadingBase"/>
    <w:link w:val="TitleChar"/>
    <w:qFormat/>
    <w:rsid w:val="00D62011"/>
    <w:pPr>
      <w:spacing w:before="5040"/>
      <w:jc w:val="center"/>
    </w:pPr>
    <w:rPr>
      <w:sz w:val="48"/>
      <w:szCs w:val="72"/>
      <w:lang w:val="en-US"/>
    </w:rPr>
  </w:style>
  <w:style w:type="character" w:customStyle="1" w:styleId="TitleChar">
    <w:name w:val="Title Char"/>
    <w:basedOn w:val="DefaultParagraphFont"/>
    <w:link w:val="Title"/>
    <w:rsid w:val="00D620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2011"/>
    <w:pPr>
      <w:tabs>
        <w:tab w:val="left" w:pos="3600"/>
        <w:tab w:val="left" w:pos="3958"/>
      </w:tabs>
    </w:pPr>
  </w:style>
  <w:style w:type="paragraph" w:styleId="List">
    <w:name w:val="List"/>
    <w:basedOn w:val="BodyText"/>
    <w:next w:val="BodyText"/>
    <w:rsid w:val="00D62011"/>
    <w:pPr>
      <w:tabs>
        <w:tab w:val="left" w:pos="340"/>
      </w:tabs>
      <w:spacing w:before="60" w:after="60"/>
      <w:ind w:left="340" w:hanging="340"/>
    </w:pPr>
  </w:style>
  <w:style w:type="paragraph" w:customStyle="1" w:styleId="Note">
    <w:name w:val="Note"/>
    <w:basedOn w:val="BodyText"/>
    <w:rsid w:val="00D6201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62011"/>
    <w:rPr>
      <w:b/>
      <w:spacing w:val="0"/>
    </w:rPr>
  </w:style>
  <w:style w:type="paragraph" w:customStyle="1" w:styleId="SuperTitle">
    <w:name w:val="SuperTitle"/>
    <w:basedOn w:val="Title"/>
    <w:rsid w:val="00D62011"/>
    <w:pPr>
      <w:framePr w:wrap="auto" w:hAnchor="text" w:y="6049"/>
    </w:pPr>
    <w:rPr>
      <w:color w:val="000000"/>
      <w:sz w:val="40"/>
    </w:rPr>
  </w:style>
  <w:style w:type="paragraph" w:customStyle="1" w:styleId="TOCTitle">
    <w:name w:val="TOCTitle"/>
    <w:basedOn w:val="Heading1"/>
    <w:rsid w:val="00D62011"/>
    <w:pPr>
      <w:spacing w:after="240"/>
      <w:jc w:val="center"/>
      <w:outlineLvl w:val="9"/>
    </w:pPr>
    <w:rPr>
      <w:caps/>
    </w:rPr>
  </w:style>
  <w:style w:type="paragraph" w:customStyle="1" w:styleId="Version">
    <w:name w:val="Version"/>
    <w:rsid w:val="00D620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2011"/>
    <w:pPr>
      <w:keepNext w:val="0"/>
      <w:tabs>
        <w:tab w:val="right" w:pos="4176"/>
      </w:tabs>
      <w:ind w:left="198" w:hanging="198"/>
    </w:pPr>
    <w:rPr>
      <w:rFonts w:ascii="Garamond" w:hAnsi="Garamond"/>
    </w:rPr>
  </w:style>
  <w:style w:type="paragraph" w:styleId="IndexHeading">
    <w:name w:val="index heading"/>
    <w:basedOn w:val="Normal"/>
    <w:next w:val="Index1"/>
    <w:semiHidden/>
    <w:rsid w:val="00D62011"/>
    <w:pPr>
      <w:spacing w:before="120" w:after="120"/>
    </w:pPr>
    <w:rPr>
      <w:rFonts w:ascii="Arial" w:hAnsi="Arial"/>
      <w:b/>
      <w:color w:val="918585"/>
      <w:sz w:val="24"/>
    </w:rPr>
  </w:style>
  <w:style w:type="paragraph" w:styleId="Header">
    <w:name w:val="header"/>
    <w:basedOn w:val="Normal"/>
    <w:link w:val="HeaderChar"/>
    <w:rsid w:val="00D620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2011"/>
    <w:rPr>
      <w:rFonts w:ascii="Times New Roman" w:eastAsia="Times New Roman" w:hAnsi="Times New Roman" w:cs="Times New Roman"/>
      <w:sz w:val="16"/>
      <w:szCs w:val="20"/>
      <w:lang w:val="en-GB" w:eastAsia="en-US"/>
    </w:rPr>
  </w:style>
  <w:style w:type="paragraph" w:customStyle="1" w:styleId="Chapter">
    <w:name w:val="Chapter"/>
    <w:basedOn w:val="Normal"/>
    <w:rsid w:val="00D62011"/>
    <w:pPr>
      <w:spacing w:before="240"/>
    </w:pPr>
    <w:rPr>
      <w:rFonts w:ascii="Times New Roman" w:hAnsi="Times New Roman"/>
      <w:smallCaps/>
      <w:spacing w:val="80"/>
      <w:sz w:val="28"/>
    </w:rPr>
  </w:style>
  <w:style w:type="paragraph" w:customStyle="1" w:styleId="InChapter">
    <w:name w:val="InChapter"/>
    <w:basedOn w:val="Heading3"/>
    <w:rsid w:val="00D62011"/>
    <w:pPr>
      <w:spacing w:after="240"/>
      <w:outlineLvl w:val="9"/>
    </w:pPr>
    <w:rPr>
      <w:noProof/>
    </w:rPr>
  </w:style>
  <w:style w:type="paragraph" w:styleId="Index2">
    <w:name w:val="index 2"/>
    <w:basedOn w:val="Normal"/>
    <w:next w:val="Normal"/>
    <w:semiHidden/>
    <w:rsid w:val="00D62011"/>
    <w:pPr>
      <w:tabs>
        <w:tab w:val="right" w:pos="4176"/>
      </w:tabs>
      <w:ind w:left="568" w:hanging="284"/>
    </w:pPr>
    <w:rPr>
      <w:rFonts w:ascii="Garamond" w:hAnsi="Garamond"/>
    </w:rPr>
  </w:style>
  <w:style w:type="paragraph" w:customStyle="1" w:styleId="Byline">
    <w:name w:val="Byline"/>
    <w:rsid w:val="00D620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2011"/>
    <w:pPr>
      <w:tabs>
        <w:tab w:val="clear" w:pos="3600"/>
        <w:tab w:val="clear" w:pos="3958"/>
      </w:tabs>
      <w:jc w:val="right"/>
    </w:pPr>
  </w:style>
  <w:style w:type="character" w:styleId="Emphasis">
    <w:name w:val="Emphasis"/>
    <w:basedOn w:val="DefaultParagraphFont"/>
    <w:qFormat/>
    <w:rsid w:val="00D62011"/>
    <w:rPr>
      <w:i/>
    </w:rPr>
  </w:style>
  <w:style w:type="paragraph" w:styleId="Caption">
    <w:name w:val="caption"/>
    <w:basedOn w:val="BodyText"/>
    <w:next w:val="Normal"/>
    <w:qFormat/>
    <w:rsid w:val="00D62011"/>
    <w:pPr>
      <w:framePr w:w="2268" w:hSpace="181" w:vSpace="181" w:wrap="around" w:vAnchor="text" w:hAnchor="page" w:x="1135" w:y="285" w:anchorLock="1"/>
    </w:pPr>
    <w:rPr>
      <w:i/>
    </w:rPr>
  </w:style>
  <w:style w:type="paragraph" w:customStyle="1" w:styleId="MiniTOCTitle">
    <w:name w:val="MiniTOCTitle"/>
    <w:basedOn w:val="Heading4"/>
    <w:rsid w:val="00D62011"/>
    <w:pPr>
      <w:spacing w:before="240"/>
      <w:outlineLvl w:val="9"/>
    </w:pPr>
    <w:rPr>
      <w:noProof/>
      <w:sz w:val="24"/>
    </w:rPr>
  </w:style>
  <w:style w:type="paragraph" w:customStyle="1" w:styleId="MiniTOCItem">
    <w:name w:val="MiniTOCItem"/>
    <w:basedOn w:val="ListBullet"/>
    <w:rsid w:val="00D62011"/>
    <w:pPr>
      <w:numPr>
        <w:numId w:val="0"/>
      </w:numPr>
      <w:tabs>
        <w:tab w:val="right" w:leader="dot" w:pos="6521"/>
      </w:tabs>
      <w:spacing w:before="0" w:after="0"/>
    </w:pPr>
  </w:style>
  <w:style w:type="paragraph" w:customStyle="1" w:styleId="TOFTitle">
    <w:name w:val="TOFTitle"/>
    <w:basedOn w:val="TOCTitle"/>
    <w:rsid w:val="00D62011"/>
  </w:style>
  <w:style w:type="paragraph" w:styleId="TableofFigures">
    <w:name w:val="table of figures"/>
    <w:basedOn w:val="Normal"/>
    <w:next w:val="Normal"/>
    <w:semiHidden/>
    <w:rsid w:val="00D62011"/>
    <w:pPr>
      <w:tabs>
        <w:tab w:val="right" w:leader="dot" w:pos="9072"/>
      </w:tabs>
      <w:ind w:left="970" w:hanging="403"/>
    </w:pPr>
    <w:rPr>
      <w:rFonts w:ascii="Times New Roman" w:hAnsi="Times New Roman"/>
      <w:b/>
    </w:rPr>
  </w:style>
  <w:style w:type="paragraph" w:styleId="ListNumber">
    <w:name w:val="List Number"/>
    <w:basedOn w:val="List"/>
    <w:rsid w:val="00D62011"/>
    <w:pPr>
      <w:numPr>
        <w:numId w:val="16"/>
      </w:numPr>
      <w:tabs>
        <w:tab w:val="clear" w:pos="340"/>
      </w:tabs>
    </w:pPr>
  </w:style>
  <w:style w:type="character" w:customStyle="1" w:styleId="WingdingSymbols">
    <w:name w:val="Wingding Symbols"/>
    <w:rsid w:val="00D62011"/>
    <w:rPr>
      <w:rFonts w:ascii="Wingdings" w:hAnsi="Wingdings"/>
    </w:rPr>
  </w:style>
  <w:style w:type="paragraph" w:customStyle="1" w:styleId="TableHeading">
    <w:name w:val="Table Heading"/>
    <w:basedOn w:val="HeadingBase"/>
    <w:rsid w:val="00D62011"/>
    <w:pPr>
      <w:keepLines/>
      <w:pBdr>
        <w:bottom w:val="single" w:sz="6" w:space="1" w:color="918585"/>
      </w:pBdr>
      <w:spacing w:before="240"/>
    </w:pPr>
  </w:style>
  <w:style w:type="character" w:customStyle="1" w:styleId="HotSpot">
    <w:name w:val="HotSpot"/>
    <w:rsid w:val="00D62011"/>
    <w:rPr>
      <w:color w:val="0033CC"/>
      <w:u w:val="none"/>
    </w:rPr>
  </w:style>
  <w:style w:type="paragraph" w:customStyle="1" w:styleId="BodyTextRight">
    <w:name w:val="Body Text Right"/>
    <w:basedOn w:val="BodyText"/>
    <w:rsid w:val="00D62011"/>
    <w:pPr>
      <w:spacing w:before="0" w:after="0"/>
      <w:jc w:val="right"/>
    </w:pPr>
  </w:style>
  <w:style w:type="paragraph" w:styleId="Index3">
    <w:name w:val="index 3"/>
    <w:basedOn w:val="ListNumber2"/>
    <w:next w:val="Normal"/>
    <w:semiHidden/>
    <w:rsid w:val="00D62011"/>
    <w:pPr>
      <w:numPr>
        <w:numId w:val="0"/>
      </w:numPr>
      <w:tabs>
        <w:tab w:val="right" w:leader="dot" w:pos="4176"/>
      </w:tabs>
    </w:pPr>
  </w:style>
  <w:style w:type="paragraph" w:styleId="ListNumber2">
    <w:name w:val="List Number 2"/>
    <w:basedOn w:val="List2"/>
    <w:rsid w:val="00D62011"/>
    <w:pPr>
      <w:numPr>
        <w:numId w:val="11"/>
      </w:numPr>
      <w:tabs>
        <w:tab w:val="clear" w:pos="1060"/>
      </w:tabs>
    </w:pPr>
  </w:style>
  <w:style w:type="paragraph" w:customStyle="1" w:styleId="MarginNote">
    <w:name w:val="Margin Note"/>
    <w:basedOn w:val="BodyText"/>
    <w:rsid w:val="00D620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20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20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2011"/>
    <w:rPr>
      <w:sz w:val="32"/>
    </w:rPr>
  </w:style>
  <w:style w:type="paragraph" w:customStyle="1" w:styleId="HeadingProcedure">
    <w:name w:val="Heading Procedure"/>
    <w:basedOn w:val="HeadingBase"/>
    <w:next w:val="Normal"/>
    <w:rsid w:val="00D62011"/>
    <w:pPr>
      <w:tabs>
        <w:tab w:val="left" w:pos="0"/>
      </w:tabs>
      <w:spacing w:before="120" w:after="60"/>
    </w:pPr>
    <w:rPr>
      <w:i/>
      <w:color w:val="918585"/>
      <w:sz w:val="22"/>
    </w:rPr>
  </w:style>
  <w:style w:type="paragraph" w:customStyle="1" w:styleId="TableBodyText">
    <w:name w:val="Table Body Text"/>
    <w:basedOn w:val="BodyText"/>
    <w:rsid w:val="00D62011"/>
    <w:pPr>
      <w:spacing w:before="60" w:after="60"/>
    </w:pPr>
  </w:style>
  <w:style w:type="paragraph" w:styleId="ListContinue">
    <w:name w:val="List Continue"/>
    <w:basedOn w:val="List"/>
    <w:rsid w:val="00D62011"/>
    <w:pPr>
      <w:ind w:firstLine="0"/>
    </w:pPr>
  </w:style>
  <w:style w:type="paragraph" w:customStyle="1" w:styleId="ListNote">
    <w:name w:val="List Note"/>
    <w:basedOn w:val="List"/>
    <w:rsid w:val="00D62011"/>
    <w:pPr>
      <w:pBdr>
        <w:top w:val="single" w:sz="6" w:space="2" w:color="918585"/>
        <w:bottom w:val="single" w:sz="6" w:space="2" w:color="918585"/>
      </w:pBdr>
      <w:tabs>
        <w:tab w:val="left" w:pos="1021"/>
      </w:tabs>
      <w:ind w:firstLine="0"/>
    </w:pPr>
  </w:style>
  <w:style w:type="paragraph" w:customStyle="1" w:styleId="Warning">
    <w:name w:val="Warning"/>
    <w:basedOn w:val="BodyText"/>
    <w:rsid w:val="00D62011"/>
    <w:pPr>
      <w:shd w:val="clear" w:color="auto" w:fill="D9D9D9"/>
      <w:tabs>
        <w:tab w:val="left" w:pos="992"/>
      </w:tabs>
      <w:ind w:left="119" w:right="119"/>
    </w:pPr>
    <w:rPr>
      <w:sz w:val="20"/>
    </w:rPr>
  </w:style>
  <w:style w:type="paragraph" w:customStyle="1" w:styleId="MarginIcons">
    <w:name w:val="Margin Icons"/>
    <w:basedOn w:val="BodyText"/>
    <w:rsid w:val="00D620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2011"/>
    <w:rPr>
      <w:rFonts w:ascii="Courier New" w:hAnsi="Courier New"/>
    </w:rPr>
  </w:style>
  <w:style w:type="paragraph" w:customStyle="1" w:styleId="NoteBullet">
    <w:name w:val="Note Bullet"/>
    <w:basedOn w:val="Note"/>
    <w:rsid w:val="00D62011"/>
    <w:pPr>
      <w:tabs>
        <w:tab w:val="clear" w:pos="680"/>
      </w:tabs>
      <w:spacing w:before="60" w:after="60"/>
    </w:pPr>
  </w:style>
  <w:style w:type="paragraph" w:customStyle="1" w:styleId="SubHeading2">
    <w:name w:val="SubHeading2"/>
    <w:basedOn w:val="HeadingBase"/>
    <w:rsid w:val="00D62011"/>
    <w:pPr>
      <w:spacing w:before="240" w:after="60"/>
    </w:pPr>
    <w:rPr>
      <w:sz w:val="20"/>
    </w:rPr>
  </w:style>
  <w:style w:type="paragraph" w:customStyle="1" w:styleId="SubHeading1">
    <w:name w:val="SubHeading1"/>
    <w:basedOn w:val="HeadingBase"/>
    <w:rsid w:val="00D62011"/>
    <w:pPr>
      <w:spacing w:before="240" w:after="60"/>
    </w:pPr>
    <w:rPr>
      <w:color w:val="918585"/>
      <w:sz w:val="22"/>
    </w:rPr>
  </w:style>
  <w:style w:type="paragraph" w:customStyle="1" w:styleId="SideHeading">
    <w:name w:val="Side Heading"/>
    <w:basedOn w:val="HeadingBase"/>
    <w:rsid w:val="00D620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2011"/>
    <w:pPr>
      <w:numPr>
        <w:numId w:val="12"/>
      </w:numPr>
    </w:pPr>
  </w:style>
  <w:style w:type="paragraph" w:styleId="PlainText">
    <w:name w:val="Plain Text"/>
    <w:basedOn w:val="Normal"/>
    <w:link w:val="PlainTextChar"/>
    <w:rsid w:val="00D62011"/>
    <w:rPr>
      <w:sz w:val="20"/>
    </w:rPr>
  </w:style>
  <w:style w:type="character" w:customStyle="1" w:styleId="PlainTextChar">
    <w:name w:val="Plain Text Char"/>
    <w:basedOn w:val="DefaultParagraphFont"/>
    <w:link w:val="PlainText"/>
    <w:rsid w:val="00D62011"/>
    <w:rPr>
      <w:rFonts w:ascii="Courier New" w:eastAsia="Times New Roman" w:hAnsi="Courier New" w:cs="Times New Roman"/>
      <w:sz w:val="20"/>
      <w:szCs w:val="20"/>
      <w:lang w:eastAsia="en-US"/>
    </w:rPr>
  </w:style>
  <w:style w:type="character" w:customStyle="1" w:styleId="MenuOption">
    <w:name w:val="Menu Option"/>
    <w:basedOn w:val="DefaultParagraphFont"/>
    <w:rsid w:val="00D62011"/>
    <w:rPr>
      <w:b/>
      <w:smallCaps/>
    </w:rPr>
  </w:style>
  <w:style w:type="paragraph" w:customStyle="1" w:styleId="TableListNumber">
    <w:name w:val="Table List Number"/>
    <w:basedOn w:val="ListNumber"/>
    <w:rsid w:val="00D62011"/>
    <w:pPr>
      <w:numPr>
        <w:numId w:val="0"/>
      </w:numPr>
    </w:pPr>
  </w:style>
  <w:style w:type="paragraph" w:styleId="TOC4">
    <w:name w:val="toc 4"/>
    <w:basedOn w:val="TOCBase"/>
    <w:next w:val="Normal"/>
    <w:semiHidden/>
    <w:rsid w:val="00D62011"/>
    <w:pPr>
      <w:tabs>
        <w:tab w:val="right" w:leader="dot" w:pos="9071"/>
      </w:tabs>
      <w:ind w:left="1701"/>
    </w:pPr>
  </w:style>
  <w:style w:type="paragraph" w:customStyle="1" w:styleId="ListAlpha">
    <w:name w:val="List Alpha"/>
    <w:basedOn w:val="List"/>
    <w:rsid w:val="00D62011"/>
    <w:pPr>
      <w:numPr>
        <w:numId w:val="10"/>
      </w:numPr>
    </w:pPr>
  </w:style>
  <w:style w:type="paragraph" w:customStyle="1" w:styleId="ListAlpha2">
    <w:name w:val="List Alpha 2"/>
    <w:basedOn w:val="List2"/>
    <w:rsid w:val="00D62011"/>
    <w:pPr>
      <w:numPr>
        <w:numId w:val="9"/>
      </w:numPr>
    </w:pPr>
  </w:style>
  <w:style w:type="paragraph" w:styleId="List2">
    <w:name w:val="List 2"/>
    <w:basedOn w:val="BodyText"/>
    <w:rsid w:val="00D62011"/>
    <w:pPr>
      <w:tabs>
        <w:tab w:val="left" w:pos="680"/>
      </w:tabs>
      <w:spacing w:before="60" w:after="60"/>
      <w:ind w:left="680" w:hanging="340"/>
    </w:pPr>
  </w:style>
  <w:style w:type="paragraph" w:styleId="List3">
    <w:name w:val="List 3"/>
    <w:basedOn w:val="BodyText"/>
    <w:rsid w:val="00D62011"/>
    <w:pPr>
      <w:tabs>
        <w:tab w:val="left" w:pos="1021"/>
      </w:tabs>
      <w:spacing w:before="60" w:after="60"/>
      <w:ind w:left="1020" w:hanging="340"/>
    </w:pPr>
  </w:style>
  <w:style w:type="paragraph" w:styleId="List4">
    <w:name w:val="List 4"/>
    <w:basedOn w:val="BodyText"/>
    <w:rsid w:val="00D62011"/>
    <w:pPr>
      <w:tabs>
        <w:tab w:val="left" w:pos="1361"/>
      </w:tabs>
      <w:spacing w:before="60" w:after="60"/>
      <w:ind w:left="1361" w:hanging="340"/>
    </w:pPr>
  </w:style>
  <w:style w:type="paragraph" w:styleId="List5">
    <w:name w:val="List 5"/>
    <w:basedOn w:val="BodyText"/>
    <w:rsid w:val="00D62011"/>
    <w:pPr>
      <w:tabs>
        <w:tab w:val="left" w:pos="1701"/>
      </w:tabs>
      <w:spacing w:before="60" w:after="60"/>
      <w:ind w:left="1701" w:hanging="340"/>
    </w:pPr>
  </w:style>
  <w:style w:type="paragraph" w:styleId="ListBullet4">
    <w:name w:val="List Bullet 4"/>
    <w:basedOn w:val="List4"/>
    <w:rsid w:val="00D62011"/>
    <w:pPr>
      <w:numPr>
        <w:numId w:val="4"/>
      </w:numPr>
      <w:tabs>
        <w:tab w:val="clear" w:pos="1361"/>
      </w:tabs>
    </w:pPr>
  </w:style>
  <w:style w:type="paragraph" w:styleId="ListBullet5">
    <w:name w:val="List Bullet 5"/>
    <w:basedOn w:val="List5"/>
    <w:rsid w:val="00D62011"/>
    <w:pPr>
      <w:numPr>
        <w:numId w:val="5"/>
      </w:numPr>
    </w:pPr>
  </w:style>
  <w:style w:type="paragraph" w:styleId="ListContinue2">
    <w:name w:val="List Continue 2"/>
    <w:basedOn w:val="List2"/>
    <w:rsid w:val="00D62011"/>
    <w:pPr>
      <w:ind w:firstLine="0"/>
    </w:pPr>
  </w:style>
  <w:style w:type="paragraph" w:styleId="ListContinue3">
    <w:name w:val="List Continue 3"/>
    <w:basedOn w:val="List3"/>
    <w:rsid w:val="00D62011"/>
    <w:pPr>
      <w:ind w:left="1021" w:firstLine="0"/>
    </w:pPr>
  </w:style>
  <w:style w:type="paragraph" w:styleId="ListContinue4">
    <w:name w:val="List Continue 4"/>
    <w:basedOn w:val="List4"/>
    <w:rsid w:val="00D62011"/>
    <w:pPr>
      <w:ind w:firstLine="0"/>
    </w:pPr>
  </w:style>
  <w:style w:type="paragraph" w:styleId="ListContinue5">
    <w:name w:val="List Continue 5"/>
    <w:basedOn w:val="List5"/>
    <w:rsid w:val="00D62011"/>
    <w:pPr>
      <w:ind w:firstLine="0"/>
    </w:pPr>
  </w:style>
  <w:style w:type="paragraph" w:styleId="ListNumber3">
    <w:name w:val="List Number 3"/>
    <w:basedOn w:val="List3"/>
    <w:rsid w:val="00D62011"/>
    <w:pPr>
      <w:numPr>
        <w:numId w:val="6"/>
      </w:numPr>
    </w:pPr>
  </w:style>
  <w:style w:type="paragraph" w:styleId="ListNumber4">
    <w:name w:val="List Number 4"/>
    <w:basedOn w:val="List4"/>
    <w:rsid w:val="00D62011"/>
    <w:pPr>
      <w:numPr>
        <w:numId w:val="7"/>
      </w:numPr>
    </w:pPr>
  </w:style>
  <w:style w:type="paragraph" w:styleId="ListNumber5">
    <w:name w:val="List Number 5"/>
    <w:basedOn w:val="List5"/>
    <w:rsid w:val="00D62011"/>
    <w:pPr>
      <w:numPr>
        <w:numId w:val="8"/>
      </w:numPr>
    </w:pPr>
  </w:style>
  <w:style w:type="paragraph" w:styleId="BlockText">
    <w:name w:val="Block Text"/>
    <w:basedOn w:val="Normal"/>
    <w:rsid w:val="00D62011"/>
    <w:pPr>
      <w:spacing w:after="120"/>
      <w:ind w:left="1440" w:right="1440"/>
    </w:pPr>
  </w:style>
  <w:style w:type="character" w:customStyle="1" w:styleId="Subscript">
    <w:name w:val="Subscript"/>
    <w:basedOn w:val="DefaultParagraphFont"/>
    <w:rsid w:val="00D62011"/>
    <w:rPr>
      <w:sz w:val="16"/>
      <w:vertAlign w:val="subscript"/>
    </w:rPr>
  </w:style>
  <w:style w:type="character" w:customStyle="1" w:styleId="Superscript">
    <w:name w:val="Superscript"/>
    <w:basedOn w:val="DefaultParagraphFont"/>
    <w:rsid w:val="00D62011"/>
    <w:rPr>
      <w:sz w:val="16"/>
      <w:vertAlign w:val="superscript"/>
    </w:rPr>
  </w:style>
  <w:style w:type="character" w:customStyle="1" w:styleId="Symbols">
    <w:name w:val="Symbols"/>
    <w:basedOn w:val="DefaultParagraphFont"/>
    <w:rsid w:val="00D62011"/>
    <w:rPr>
      <w:rFonts w:ascii="Symbol" w:hAnsi="Symbol"/>
    </w:rPr>
  </w:style>
  <w:style w:type="character" w:customStyle="1" w:styleId="MenuOptions">
    <w:name w:val="Menu Options"/>
    <w:basedOn w:val="DefaultParagraphFont"/>
    <w:rsid w:val="00D62011"/>
    <w:rPr>
      <w:rFonts w:ascii="Arial Narrow" w:hAnsi="Arial Narrow"/>
      <w:smallCaps/>
    </w:rPr>
  </w:style>
  <w:style w:type="character" w:customStyle="1" w:styleId="Buttons">
    <w:name w:val="Buttons"/>
    <w:basedOn w:val="DefaultParagraphFont"/>
    <w:rsid w:val="00D62011"/>
    <w:rPr>
      <w:b/>
    </w:rPr>
  </w:style>
  <w:style w:type="character" w:customStyle="1" w:styleId="Underlined">
    <w:name w:val="Underlined"/>
    <w:basedOn w:val="DefaultParagraphFont"/>
    <w:rsid w:val="00D62011"/>
    <w:rPr>
      <w:u w:val="single"/>
    </w:rPr>
  </w:style>
  <w:style w:type="paragraph" w:customStyle="1" w:styleId="TableBodyTextRight">
    <w:name w:val="Table Body Text Right"/>
    <w:basedOn w:val="TableBodyText"/>
    <w:rsid w:val="00D62011"/>
    <w:pPr>
      <w:widowControl w:val="0"/>
      <w:autoSpaceDE w:val="0"/>
      <w:autoSpaceDN w:val="0"/>
      <w:adjustRightInd w:val="0"/>
      <w:jc w:val="right"/>
    </w:pPr>
    <w:rPr>
      <w:rFonts w:cs="Arial"/>
      <w:szCs w:val="18"/>
    </w:rPr>
  </w:style>
  <w:style w:type="paragraph" w:customStyle="1" w:styleId="CopyrightText">
    <w:name w:val="Copyright Text"/>
    <w:basedOn w:val="BodyText"/>
    <w:rsid w:val="00D62011"/>
    <w:rPr>
      <w:sz w:val="18"/>
    </w:rPr>
  </w:style>
  <w:style w:type="paragraph" w:customStyle="1" w:styleId="BodySmallRight">
    <w:name w:val="Body Small Right"/>
    <w:basedOn w:val="BodyTextRight"/>
    <w:rsid w:val="00D62011"/>
    <w:rPr>
      <w:sz w:val="18"/>
      <w:szCs w:val="18"/>
    </w:rPr>
  </w:style>
  <w:style w:type="paragraph" w:customStyle="1" w:styleId="MarginEdition">
    <w:name w:val="Margin Edition"/>
    <w:basedOn w:val="MarginNote"/>
    <w:rsid w:val="00D62011"/>
    <w:pPr>
      <w:spacing w:before="0" w:after="0"/>
    </w:pPr>
    <w:rPr>
      <w:rFonts w:ascii="Times New Roman" w:hAnsi="Times New Roman"/>
      <w:color w:val="999999"/>
    </w:rPr>
  </w:style>
  <w:style w:type="paragraph" w:customStyle="1" w:styleId="Spacer">
    <w:name w:val="Spacer"/>
    <w:basedOn w:val="Normal"/>
    <w:rsid w:val="00D62011"/>
    <w:rPr>
      <w:sz w:val="2"/>
      <w:szCs w:val="2"/>
    </w:rPr>
  </w:style>
  <w:style w:type="character" w:customStyle="1" w:styleId="Small">
    <w:name w:val="Small"/>
    <w:basedOn w:val="DefaultParagraphFont"/>
    <w:rsid w:val="00D62011"/>
    <w:rPr>
      <w:sz w:val="16"/>
    </w:rPr>
  </w:style>
  <w:style w:type="paragraph" w:customStyle="1" w:styleId="WideTable">
    <w:name w:val="Wide Table"/>
    <w:basedOn w:val="Normal"/>
    <w:rsid w:val="00D62011"/>
    <w:pPr>
      <w:ind w:left="-1418"/>
    </w:pPr>
    <w:rPr>
      <w:sz w:val="2"/>
      <w:szCs w:val="2"/>
    </w:rPr>
  </w:style>
  <w:style w:type="character" w:styleId="PageNumber">
    <w:name w:val="page number"/>
    <w:basedOn w:val="DefaultParagraphFont"/>
    <w:rsid w:val="00D62011"/>
  </w:style>
  <w:style w:type="paragraph" w:styleId="Quote">
    <w:name w:val="Quote"/>
    <w:basedOn w:val="Heading1"/>
    <w:link w:val="QuoteChar"/>
    <w:qFormat/>
    <w:rsid w:val="00D62011"/>
    <w:rPr>
      <w:b w:val="0"/>
      <w:sz w:val="72"/>
      <w:szCs w:val="72"/>
      <w:lang w:val="en-NZ"/>
    </w:rPr>
  </w:style>
  <w:style w:type="character" w:customStyle="1" w:styleId="QuoteChar">
    <w:name w:val="Quote Char"/>
    <w:basedOn w:val="DefaultParagraphFont"/>
    <w:link w:val="Quote"/>
    <w:rsid w:val="00D620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2011"/>
    <w:pPr>
      <w:pageBreakBefore/>
    </w:pPr>
  </w:style>
  <w:style w:type="paragraph" w:customStyle="1" w:styleId="Border">
    <w:name w:val="Border"/>
    <w:basedOn w:val="Normal"/>
    <w:qFormat/>
    <w:rsid w:val="00D620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2011"/>
    <w:rPr>
      <w:b/>
      <w:bCs/>
      <w:i/>
      <w:iCs/>
      <w:color w:val="auto"/>
    </w:rPr>
  </w:style>
  <w:style w:type="paragraph" w:styleId="IntenseQuote">
    <w:name w:val="Intense Quote"/>
    <w:basedOn w:val="Normal"/>
    <w:next w:val="Normal"/>
    <w:link w:val="IntenseQuoteChar"/>
    <w:uiPriority w:val="30"/>
    <w:qFormat/>
    <w:rsid w:val="00D620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20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2011"/>
    <w:rPr>
      <w:smallCaps/>
      <w:color w:val="auto"/>
      <w:u w:val="single"/>
    </w:rPr>
  </w:style>
  <w:style w:type="character" w:styleId="IntenseReference">
    <w:name w:val="Intense Reference"/>
    <w:basedOn w:val="DefaultParagraphFont"/>
    <w:uiPriority w:val="32"/>
    <w:qFormat/>
    <w:rsid w:val="00D62011"/>
    <w:rPr>
      <w:b/>
      <w:bCs/>
      <w:smallCaps/>
      <w:color w:val="auto"/>
      <w:spacing w:val="5"/>
      <w:u w:val="single"/>
    </w:rPr>
  </w:style>
  <w:style w:type="paragraph" w:customStyle="1" w:styleId="2ColumnHeading">
    <w:name w:val="2Column Heading"/>
    <w:basedOn w:val="BodyText"/>
    <w:qFormat/>
    <w:rsid w:val="00D62011"/>
    <w:pPr>
      <w:spacing w:after="60"/>
      <w:ind w:left="-2268"/>
    </w:pPr>
    <w:rPr>
      <w:b/>
    </w:rPr>
  </w:style>
  <w:style w:type="paragraph" w:customStyle="1" w:styleId="Heading1TOC">
    <w:name w:val="Heading1 TOC"/>
    <w:basedOn w:val="Normal"/>
    <w:qFormat/>
    <w:rsid w:val="00D62011"/>
    <w:pPr>
      <w:spacing w:before="240" w:after="120"/>
    </w:pPr>
    <w:rPr>
      <w:rFonts w:ascii="Times New Roman" w:hAnsi="Times New Roman"/>
      <w:b/>
      <w:sz w:val="32"/>
    </w:rPr>
  </w:style>
  <w:style w:type="paragraph" w:customStyle="1" w:styleId="Heading2TOC">
    <w:name w:val="Heading2 TOC"/>
    <w:basedOn w:val="Normal"/>
    <w:qFormat/>
    <w:rsid w:val="00D62011"/>
    <w:pPr>
      <w:spacing w:before="240" w:after="60"/>
    </w:pPr>
    <w:rPr>
      <w:rFonts w:ascii="Times New Roman" w:hAnsi="Times New Roman"/>
      <w:b/>
      <w:sz w:val="28"/>
    </w:rPr>
  </w:style>
  <w:style w:type="character" w:customStyle="1" w:styleId="Underline">
    <w:name w:val="Underline"/>
    <w:basedOn w:val="DefaultParagraphFont"/>
    <w:qFormat/>
    <w:rsid w:val="00D62011"/>
    <w:rPr>
      <w:u w:val="single"/>
    </w:rPr>
  </w:style>
  <w:style w:type="character" w:customStyle="1" w:styleId="BoldandItalics">
    <w:name w:val="Bold and Italics"/>
    <w:qFormat/>
    <w:rsid w:val="00D62011"/>
    <w:rPr>
      <w:b/>
      <w:i/>
      <w:u w:val="none"/>
    </w:rPr>
  </w:style>
  <w:style w:type="paragraph" w:styleId="BalloonText">
    <w:name w:val="Balloon Text"/>
    <w:basedOn w:val="Normal"/>
    <w:link w:val="BalloonTextChar"/>
    <w:rsid w:val="00D62011"/>
    <w:rPr>
      <w:rFonts w:ascii="Tahoma" w:hAnsi="Tahoma" w:cs="Tahoma"/>
      <w:sz w:val="16"/>
      <w:szCs w:val="16"/>
    </w:rPr>
  </w:style>
  <w:style w:type="character" w:customStyle="1" w:styleId="BalloonTextChar">
    <w:name w:val="Balloon Text Char"/>
    <w:basedOn w:val="DefaultParagraphFont"/>
    <w:link w:val="BalloonText"/>
    <w:rsid w:val="00D620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20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20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2011"/>
    <w:rPr>
      <w:b/>
      <w:color w:val="660033"/>
      <w:spacing w:val="0"/>
    </w:rPr>
  </w:style>
  <w:style w:type="paragraph" w:customStyle="1" w:styleId="Nameditemlist">
    <w:name w:val="Named item list"/>
    <w:basedOn w:val="BodyText"/>
    <w:qFormat/>
    <w:rsid w:val="00D62011"/>
    <w:pPr>
      <w:tabs>
        <w:tab w:val="left" w:pos="2835"/>
      </w:tabs>
      <w:ind w:left="2835" w:hanging="2835"/>
    </w:pPr>
  </w:style>
  <w:style w:type="paragraph" w:customStyle="1" w:styleId="BodyTextnopadding">
    <w:name w:val="Body Text no padding"/>
    <w:basedOn w:val="BodyText"/>
    <w:qFormat/>
    <w:rsid w:val="00D62011"/>
    <w:pPr>
      <w:spacing w:before="0" w:after="0"/>
    </w:pPr>
  </w:style>
  <w:style w:type="paragraph" w:customStyle="1" w:styleId="BodyTextBold">
    <w:name w:val="Body Text Bold"/>
    <w:basedOn w:val="BodyText"/>
    <w:qFormat/>
    <w:rsid w:val="00D62011"/>
    <w:rPr>
      <w:b/>
    </w:rPr>
  </w:style>
  <w:style w:type="character" w:styleId="Hyperlink">
    <w:name w:val="Hyperlink"/>
    <w:basedOn w:val="DefaultParagraphFont"/>
    <w:uiPriority w:val="99"/>
    <w:unhideWhenUsed/>
    <w:rsid w:val="00602B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1371</Words>
  <Characters>8998</Characters>
  <Application>Microsoft Office Word</Application>
  <DocSecurity>0</DocSecurity>
  <Lines>299</Lines>
  <Paragraphs>199</Paragraphs>
  <ScaleCrop>false</ScaleCrop>
  <Company>Author-it Software Corporation Ltd.</Company>
  <LinksUpToDate>false</LinksUpToDate>
  <CharactersWithSpaces>10170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CPCCBS6101 Research and evaluate construction methods and materials for Class 1 and 10 buildings to three store</dc:title>
  <dc:subject>Approved</dc:subject>
  <dc:creator>BuildSkills Australia</dc:creator>
  <cp:keywords>Release: 1</cp:keywords>
  <dc:description>Review Date: 12 April 2008</dc:description>
  <cp:lastModifiedBy>HSD_TPCMSd.prod</cp:lastModifiedBy>
  <cp:revision>3</cp:revision>
  <dcterms:created xsi:type="dcterms:W3CDTF">2025-03-01T13:06:00Z</dcterms:created>
  <dcterms:modified xsi:type="dcterms:W3CDTF">2025-03-01T13:06:00Z</dcterms:modified>
</cp:coreProperties>
</file>