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2D14" w:rsidP="00A12D14">
      <w:pPr>
        <w:pStyle w:val="Title"/>
      </w:pPr>
      <w:r>
        <w:fldChar w:fldCharType="begin"/>
      </w:r>
      <w:r>
        <w:instrText xml:space="preserve"> TITLE   \* MERGEFORMAT </w:instrText>
      </w:r>
      <w:r>
        <w:fldChar w:fldCharType="separate"/>
      </w:r>
      <w:r>
        <w:t>CPCCBS6017 Monitor and advise on construction and compliance upgrade work on buildings up to three storeys</w:t>
      </w:r>
      <w:r>
        <w:fldChar w:fldCharType="end"/>
      </w:r>
    </w:p>
    <w:p w:rsidR="00A12D14" w:rsidP="00A12D14">
      <w:pPr>
        <w:pStyle w:val="Version"/>
        <w:sectPr w:rsidSect="006A00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A00D8" w:rsidP="006A00D8">
      <w:pPr>
        <w:pStyle w:val="SuperHeading"/>
      </w:pPr>
      <w:r w:rsidRPr="006A00D8">
        <w:t>CPCCBS6017 Monitor and advise on construction and compliance upgrade work on buildings up to three storeys</w:t>
      </w:r>
    </w:p>
    <w:p w:rsidR="00000000" w:rsidRPr="006A00D8" w:rsidP="006A00D8">
      <w:pPr>
        <w:pStyle w:val="Heading1"/>
      </w:pPr>
      <w:bookmarkStart w:id="1" w:name="O_867835"/>
      <w:bookmarkEnd w:id="1"/>
      <w:r w:rsidRPr="006A00D8">
        <w:t>Modification History</w:t>
      </w:r>
    </w:p>
    <w:tbl>
      <w:tblPr>
        <w:tblW w:w="9242" w:type="dxa"/>
        <w:tblLayout w:type="fixed"/>
        <w:tblCellMar>
          <w:left w:w="62" w:type="dxa"/>
          <w:right w:w="62" w:type="dxa"/>
        </w:tblCellMar>
        <w:tblLook w:val="0000"/>
      </w:tblPr>
      <w:tblGrid>
        <w:gridCol w:w="1059"/>
        <w:gridCol w:w="8183"/>
      </w:tblGrid>
      <w:tr w:rsidTr="006A00D8">
        <w:tblPrEx>
          <w:tblW w:w="9242" w:type="dxa"/>
          <w:tblLayout w:type="fixed"/>
          <w:tblCellMar>
            <w:left w:w="62" w:type="dxa"/>
            <w:right w:w="62" w:type="dxa"/>
          </w:tblCellMar>
          <w:tblLook w:val="0000"/>
        </w:tblPrEx>
        <w:trPr>
          <w:trHeight w:val="20"/>
        </w:trPr>
        <w:tc>
          <w:tcPr>
            <w:tcW w:w="1059" w:type="dxa"/>
            <w:tcBorders>
              <w:top w:val="nil"/>
              <w:left w:val="nil"/>
              <w:bottom w:val="nil"/>
              <w:right w:val="nil"/>
            </w:tcBorders>
            <w:tcMar>
              <w:top w:w="0" w:type="dxa"/>
              <w:left w:w="62" w:type="dxa"/>
              <w:bottom w:w="0" w:type="dxa"/>
              <w:right w:w="62" w:type="dxa"/>
            </w:tcMar>
          </w:tcPr>
          <w:p w:rsidR="00000000" w:rsidRPr="006A00D8" w:rsidP="006A00D8">
            <w:pPr>
              <w:pStyle w:val="BodyText"/>
            </w:pPr>
            <w:r w:rsidRPr="006A00D8">
              <w:rPr>
                <w:rStyle w:val="SpecialBold"/>
              </w:rPr>
              <w:t>Release</w:t>
            </w:r>
          </w:p>
        </w:tc>
        <w:tc>
          <w:tcPr>
            <w:tcW w:w="8183" w:type="dxa"/>
            <w:tcBorders>
              <w:top w:val="nil"/>
              <w:left w:val="nil"/>
              <w:bottom w:val="nil"/>
              <w:right w:val="nil"/>
            </w:tcBorders>
            <w:tcMar>
              <w:top w:w="0" w:type="dxa"/>
              <w:left w:w="62" w:type="dxa"/>
              <w:bottom w:w="0" w:type="dxa"/>
              <w:right w:w="62" w:type="dxa"/>
            </w:tcMar>
          </w:tcPr>
          <w:p w:rsidR="00000000" w:rsidP="006A00D8">
            <w:pPr>
              <w:pStyle w:val="BodyText"/>
              <w:rPr>
                <w:lang w:val="en-NZ"/>
              </w:rPr>
            </w:pPr>
            <w:r w:rsidRPr="006A00D8">
              <w:rPr>
                <w:rStyle w:val="SpecialBold"/>
              </w:rPr>
              <w:t>Comments</w:t>
            </w:r>
          </w:p>
        </w:tc>
      </w:tr>
      <w:tr w:rsidTr="006A00D8">
        <w:tblPrEx>
          <w:tblW w:w="9242" w:type="dxa"/>
          <w:tblLayout w:type="fixed"/>
          <w:tblCellMar>
            <w:left w:w="62" w:type="dxa"/>
            <w:right w:w="62" w:type="dxa"/>
          </w:tblCellMar>
          <w:tblLook w:val="0000"/>
        </w:tblPrEx>
        <w:trPr>
          <w:trHeight w:val="20"/>
        </w:trPr>
        <w:tc>
          <w:tcPr>
            <w:tcW w:w="1059" w:type="dxa"/>
            <w:tcBorders>
              <w:top w:val="nil"/>
              <w:left w:val="nil"/>
              <w:bottom w:val="nil"/>
              <w:right w:val="nil"/>
            </w:tcBorders>
            <w:tcMar>
              <w:top w:w="0" w:type="dxa"/>
              <w:left w:w="62" w:type="dxa"/>
              <w:bottom w:w="0" w:type="dxa"/>
              <w:right w:w="62" w:type="dxa"/>
            </w:tcMar>
          </w:tcPr>
          <w:p w:rsidR="00000000" w:rsidP="006A00D8">
            <w:pPr>
              <w:pStyle w:val="BodyText"/>
              <w:rPr>
                <w:lang w:val="en-NZ"/>
              </w:rPr>
            </w:pPr>
            <w:r w:rsidRPr="006A00D8">
              <w:t>1.1</w:t>
            </w:r>
          </w:p>
        </w:tc>
        <w:tc>
          <w:tcPr>
            <w:tcW w:w="8183" w:type="dxa"/>
            <w:tcBorders>
              <w:top w:val="nil"/>
              <w:left w:val="nil"/>
              <w:bottom w:val="nil"/>
              <w:right w:val="nil"/>
            </w:tcBorders>
            <w:tcMar>
              <w:top w:w="0" w:type="dxa"/>
              <w:left w:w="62" w:type="dxa"/>
              <w:bottom w:w="0" w:type="dxa"/>
              <w:right w:w="62" w:type="dxa"/>
            </w:tcMar>
          </w:tcPr>
          <w:p w:rsidR="00000000" w:rsidRPr="006A00D8" w:rsidP="006A00D8">
            <w:pPr>
              <w:pStyle w:val="BodyText"/>
            </w:pPr>
            <w:r w:rsidRPr="006A00D8">
              <w:t>Replaces superseded equivalent CPCCBS6017 Monitor and advise on construction and compliance upgrade work on buildings up to three storeys.</w:t>
            </w:r>
          </w:p>
          <w:p w:rsidR="00000000" w:rsidRPr="006A00D8" w:rsidP="006A00D8">
            <w:pPr>
              <w:pStyle w:val="BodyText"/>
            </w:pPr>
            <w:r w:rsidRPr="006A00D8">
              <w:t>This version first released with CPC Construction, Plumbing and Services Training Package Version 1.1.</w:t>
            </w:r>
          </w:p>
          <w:p w:rsidR="00000000" w:rsidP="006A00D8">
            <w:pPr>
              <w:pStyle w:val="BodyText"/>
              <w:rPr>
                <w:lang w:val="en-NZ"/>
              </w:rPr>
            </w:pPr>
          </w:p>
        </w:tc>
      </w:tr>
      <w:tr w:rsidTr="006A00D8">
        <w:tblPrEx>
          <w:tblW w:w="9242" w:type="dxa"/>
          <w:tblLayout w:type="fixed"/>
          <w:tblCellMar>
            <w:left w:w="62" w:type="dxa"/>
            <w:right w:w="62" w:type="dxa"/>
          </w:tblCellMar>
          <w:tblLook w:val="0000"/>
        </w:tblPrEx>
        <w:trPr>
          <w:trHeight w:val="20"/>
        </w:trPr>
        <w:tc>
          <w:tcPr>
            <w:tcW w:w="1059" w:type="dxa"/>
            <w:tcBorders>
              <w:top w:val="nil"/>
              <w:left w:val="nil"/>
              <w:bottom w:val="nil"/>
              <w:right w:val="nil"/>
            </w:tcBorders>
            <w:tcMar>
              <w:top w:w="0" w:type="dxa"/>
              <w:left w:w="62" w:type="dxa"/>
              <w:bottom w:w="0" w:type="dxa"/>
              <w:right w:w="62" w:type="dxa"/>
            </w:tcMar>
          </w:tcPr>
          <w:p w:rsidR="00000000" w:rsidP="006A00D8">
            <w:pPr>
              <w:pStyle w:val="BodyText"/>
              <w:rPr>
                <w:lang w:val="en-NZ"/>
              </w:rPr>
            </w:pPr>
            <w:r w:rsidRPr="006A00D8">
              <w:t>1</w:t>
            </w:r>
          </w:p>
        </w:tc>
        <w:tc>
          <w:tcPr>
            <w:tcW w:w="8183" w:type="dxa"/>
            <w:tcBorders>
              <w:top w:val="nil"/>
              <w:left w:val="nil"/>
              <w:bottom w:val="nil"/>
              <w:right w:val="nil"/>
            </w:tcBorders>
            <w:tcMar>
              <w:top w:w="0" w:type="dxa"/>
              <w:left w:w="62" w:type="dxa"/>
              <w:bottom w:w="0" w:type="dxa"/>
              <w:right w:w="62" w:type="dxa"/>
            </w:tcMar>
          </w:tcPr>
          <w:p w:rsidR="00000000" w:rsidRPr="006A00D8" w:rsidP="006A00D8">
            <w:pPr>
              <w:pStyle w:val="BodyText"/>
            </w:pPr>
            <w:r w:rsidRPr="006A00D8">
              <w:t>New unit o</w:t>
            </w:r>
            <w:r w:rsidRPr="006A00D8">
              <w:t>f competency.</w:t>
            </w:r>
          </w:p>
          <w:p w:rsidR="00000000" w:rsidRPr="006A00D8" w:rsidP="006A00D8">
            <w:pPr>
              <w:pStyle w:val="BodyText"/>
            </w:pPr>
            <w:r w:rsidRPr="006A00D8">
              <w:t>This version first released with CPC Construction, Plumbing and Services Training Package Version 1.</w:t>
            </w:r>
          </w:p>
        </w:tc>
      </w:tr>
    </w:tbl>
    <w:p w:rsidR="00000000" w:rsidRPr="006A00D8" w:rsidP="006A00D8">
      <w:pPr>
        <w:pStyle w:val="BodyText"/>
      </w:pPr>
    </w:p>
    <w:p w:rsidR="00000000" w:rsidRPr="006A00D8" w:rsidP="006A00D8">
      <w:pPr>
        <w:pStyle w:val="AllowPageBreak"/>
      </w:pPr>
    </w:p>
    <w:p w:rsidR="00000000" w:rsidRPr="006A00D8" w:rsidP="006A00D8">
      <w:pPr>
        <w:pStyle w:val="Heading1"/>
      </w:pPr>
      <w:bookmarkStart w:id="2" w:name="O_867834"/>
      <w:bookmarkEnd w:id="2"/>
      <w:r w:rsidRPr="006A00D8">
        <w:t>Application</w:t>
      </w:r>
    </w:p>
    <w:p w:rsidR="00000000" w:rsidRPr="006A00D8" w:rsidP="00A12D14">
      <w:pPr>
        <w:pStyle w:val="BodyText"/>
      </w:pPr>
      <w:r w:rsidRPr="006A00D8">
        <w:t>This unit of competency specifies the outcomes required to monitor construction work and provide advice to cli</w:t>
      </w:r>
      <w:r w:rsidRPr="006A00D8">
        <w:t>ents, including architects, buildings designers and construction contractors, on meeting compliance requirements for construction work on both new and existing buildings of all classes, defined by the Building Code of Australia, and up to three storeys. It</w:t>
      </w:r>
      <w:r w:rsidRPr="006A00D8">
        <w:t xml:space="preserve"> involves arranging and conducting site visits during construction. </w:t>
      </w:r>
    </w:p>
    <w:p w:rsidR="00000000" w:rsidRPr="006A00D8" w:rsidP="00A12D14">
      <w:pPr>
        <w:pStyle w:val="BodyText"/>
      </w:pPr>
      <w:r w:rsidRPr="006A00D8">
        <w:t>The unit supports the work of private building surveyors who provide consultancy services during the construction phase of a project and who assist in finding solutions to problems, incl</w:t>
      </w:r>
      <w:r w:rsidRPr="006A00D8">
        <w:t>uding construction faults and compliance issues.</w:t>
      </w:r>
    </w:p>
    <w:p w:rsidR="00000000" w:rsidRPr="006A00D8" w:rsidP="00A12D14">
      <w:pPr>
        <w:pStyle w:val="BodyText"/>
      </w:pPr>
      <w:r w:rsidRPr="006A00D8">
        <w:t>Building surveyors must operate within the regulatory constraints that govern the relationship between their advisory and statutory roles and ensure that no conflict of interest arises.</w:t>
      </w:r>
    </w:p>
    <w:p w:rsidR="00000000" w:rsidRPr="006A00D8" w:rsidP="00A12D14">
      <w:pPr>
        <w:pStyle w:val="BodyText"/>
      </w:pPr>
      <w:r w:rsidRPr="006A00D8">
        <w:t>Licensing, legislative, regulatory or certification requirements apply to this unit in some States. Relevant state and territory regulatory authorities should be consulted to confirm those requirements.</w:t>
      </w:r>
    </w:p>
    <w:p w:rsidR="00000000" w:rsidRPr="006A00D8" w:rsidP="006A00D8">
      <w:pPr>
        <w:pStyle w:val="Heading1"/>
      </w:pPr>
      <w:bookmarkStart w:id="3" w:name="O_867833"/>
      <w:bookmarkEnd w:id="3"/>
      <w:r w:rsidRPr="006A00D8">
        <w:t>Pre-requisite Unit</w:t>
      </w:r>
    </w:p>
    <w:p w:rsidR="00000000" w:rsidRPr="006A00D8" w:rsidP="00A12D14">
      <w:pPr>
        <w:pStyle w:val="BodyText"/>
      </w:pPr>
      <w:r w:rsidRPr="006A00D8">
        <w:t>Nil</w:t>
      </w:r>
    </w:p>
    <w:p w:rsidR="00000000" w:rsidRPr="006A00D8" w:rsidP="006A00D8">
      <w:pPr>
        <w:pStyle w:val="Heading1"/>
      </w:pPr>
      <w:bookmarkStart w:id="4" w:name="O_867832"/>
      <w:bookmarkEnd w:id="4"/>
      <w:r w:rsidRPr="006A00D8">
        <w:t>Competency Field</w:t>
      </w:r>
    </w:p>
    <w:p w:rsidR="00000000" w:rsidRPr="006A00D8" w:rsidP="00A12D14">
      <w:pPr>
        <w:pStyle w:val="BodyText"/>
      </w:pPr>
      <w:r w:rsidRPr="006A00D8">
        <w:t>Building surveying</w:t>
      </w:r>
    </w:p>
    <w:p w:rsidR="00000000" w:rsidRPr="006A00D8" w:rsidP="006A00D8">
      <w:pPr>
        <w:pStyle w:val="Heading1"/>
      </w:pPr>
      <w:bookmarkStart w:id="5" w:name="O_867831"/>
      <w:bookmarkEnd w:id="5"/>
      <w:r w:rsidRPr="006A00D8">
        <w:t>Unit Sector</w:t>
      </w:r>
    </w:p>
    <w:p w:rsidR="00000000" w:rsidRPr="006A00D8" w:rsidP="00A12D14">
      <w:pPr>
        <w:pStyle w:val="BodyText"/>
      </w:pPr>
      <w:r w:rsidRPr="006A00D8">
        <w:t>Construction</w:t>
      </w:r>
    </w:p>
    <w:p w:rsidR="00000000" w:rsidRPr="006A00D8" w:rsidP="006A00D8">
      <w:pPr>
        <w:pStyle w:val="Heading1"/>
      </w:pPr>
      <w:bookmarkStart w:id="6" w:name="O_867830"/>
      <w:bookmarkEnd w:id="6"/>
      <w:r w:rsidRPr="006A00D8">
        <w:t>Elements and Performance Criteria</w:t>
      </w:r>
    </w:p>
    <w:tbl>
      <w:tblPr>
        <w:tblW w:w="0" w:type="auto"/>
        <w:tblLayout w:type="fixed"/>
        <w:tblCellMar>
          <w:left w:w="62" w:type="dxa"/>
          <w:right w:w="62" w:type="dxa"/>
        </w:tblCellMar>
        <w:tblLook w:val="0000"/>
      </w:tblPr>
      <w:tblGrid>
        <w:gridCol w:w="540"/>
        <w:gridCol w:w="2100"/>
        <w:gridCol w:w="770"/>
        <w:gridCol w:w="5610"/>
      </w:tblGrid>
      <w:tr w:rsidTr="006A00D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A00D8">
            <w:pPr>
              <w:pStyle w:val="BodyText"/>
              <w:rPr>
                <w:lang w:val="en-NZ"/>
              </w:rPr>
            </w:pPr>
            <w:r w:rsidRPr="006A00D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A00D8">
            <w:pPr>
              <w:pStyle w:val="BodyText"/>
              <w:rPr>
                <w:lang w:val="en-NZ"/>
              </w:rPr>
            </w:pPr>
            <w:r w:rsidRPr="006A00D8">
              <w:t xml:space="preserve">Performance criteria describe the performance needed to demonstrate achievement </w:t>
            </w:r>
            <w:r w:rsidRPr="006A00D8">
              <w:t>of the element. Where bold italicised text is used, further information is detailed in the range of conditions.</w:t>
            </w:r>
          </w:p>
        </w:tc>
      </w:tr>
      <w:tr w:rsidTr="006A00D8">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6A00D8">
            <w:pPr>
              <w:pStyle w:val="BodyText"/>
              <w:rPr>
                <w:lang w:val="en-NZ"/>
              </w:rPr>
            </w:pPr>
            <w:r w:rsidRPr="006A00D8">
              <w:t>1.</w:t>
            </w:r>
          </w:p>
        </w:tc>
        <w:tc>
          <w:tcPr>
            <w:tcW w:w="2100" w:type="dxa"/>
            <w:vMerge w:val="restart"/>
            <w:tcBorders>
              <w:top w:val="nil"/>
              <w:left w:val="nil"/>
              <w:bottom w:val="nil"/>
              <w:right w:val="nil"/>
            </w:tcBorders>
            <w:tcMar>
              <w:top w:w="0" w:type="dxa"/>
              <w:left w:w="62" w:type="dxa"/>
              <w:bottom w:w="0" w:type="dxa"/>
              <w:right w:w="62" w:type="dxa"/>
            </w:tcMar>
          </w:tcPr>
          <w:p w:rsidR="00000000" w:rsidP="006A00D8">
            <w:pPr>
              <w:pStyle w:val="BodyText"/>
              <w:rPr>
                <w:lang w:val="en-NZ"/>
              </w:rPr>
            </w:pPr>
            <w:r w:rsidRPr="006A00D8">
              <w:t>Plan and manage construction monitoring and advisory services.</w:t>
            </w:r>
          </w:p>
        </w:tc>
        <w:tc>
          <w:tcPr>
            <w:tcW w:w="770" w:type="dxa"/>
            <w:tcBorders>
              <w:top w:val="nil"/>
              <w:left w:val="nil"/>
              <w:bottom w:val="nil"/>
              <w:right w:val="nil"/>
            </w:tcBorders>
            <w:tcMar>
              <w:top w:w="0" w:type="dxa"/>
              <w:left w:w="62" w:type="dxa"/>
              <w:bottom w:w="0" w:type="dxa"/>
              <w:right w:w="62" w:type="dxa"/>
            </w:tcMar>
          </w:tcPr>
          <w:p w:rsidR="00000000" w:rsidP="006A00D8">
            <w:pPr>
              <w:pStyle w:val="BodyText"/>
              <w:rPr>
                <w:lang w:val="en-NZ"/>
              </w:rPr>
            </w:pPr>
            <w:r w:rsidRPr="006A00D8">
              <w:t>1.1.</w:t>
            </w:r>
          </w:p>
        </w:tc>
        <w:tc>
          <w:tcPr>
            <w:tcW w:w="5610" w:type="dxa"/>
            <w:tcBorders>
              <w:top w:val="nil"/>
              <w:left w:val="nil"/>
              <w:bottom w:val="nil"/>
              <w:right w:val="nil"/>
            </w:tcBorders>
            <w:tcMar>
              <w:top w:w="0" w:type="dxa"/>
              <w:left w:w="62" w:type="dxa"/>
              <w:bottom w:w="0" w:type="dxa"/>
              <w:right w:w="62" w:type="dxa"/>
            </w:tcMar>
          </w:tcPr>
          <w:p w:rsidR="00000000" w:rsidP="006A00D8">
            <w:pPr>
              <w:pStyle w:val="BodyText"/>
              <w:rPr>
                <w:lang w:val="en-NZ"/>
              </w:rPr>
            </w:pPr>
            <w:r w:rsidRPr="006A00D8">
              <w:t>Scope and nature of construction monitoring services and advice required by clients are determined and details of services to be offered at different stages of projects, timelines and fees are identified and confirmed.</w:t>
            </w:r>
          </w:p>
        </w:tc>
      </w:tr>
      <w:tr w:rsidTr="006A00D8">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00D8">
            <w:pPr>
              <w:pStyle w:val="BodyText"/>
              <w:rPr>
                <w:lang w:val="en-NZ"/>
              </w:rPr>
            </w:pPr>
            <w:r w:rsidRPr="006A00D8">
              <w:t>1.2.</w:t>
            </w:r>
          </w:p>
        </w:tc>
        <w:tc>
          <w:tcPr>
            <w:tcW w:w="5610" w:type="dxa"/>
            <w:tcBorders>
              <w:top w:val="nil"/>
              <w:left w:val="nil"/>
              <w:bottom w:val="nil"/>
              <w:right w:val="nil"/>
            </w:tcBorders>
            <w:tcMar>
              <w:top w:w="0" w:type="dxa"/>
              <w:left w:w="62" w:type="dxa"/>
              <w:bottom w:w="0" w:type="dxa"/>
              <w:right w:w="62" w:type="dxa"/>
            </w:tcMar>
          </w:tcPr>
          <w:p w:rsidR="00000000" w:rsidP="006A00D8">
            <w:pPr>
              <w:pStyle w:val="BodyText"/>
              <w:rPr>
                <w:lang w:val="en-NZ"/>
              </w:rPr>
            </w:pPr>
            <w:r w:rsidRPr="006A00D8">
              <w:t>External personnel required t</w:t>
            </w:r>
            <w:r w:rsidRPr="006A00D8">
              <w:t>o provide advice at different stages of projects, or on specialist areas of expertise, are identified, engaged and briefed.</w:t>
            </w:r>
          </w:p>
        </w:tc>
      </w:tr>
      <w:tr w:rsidTr="006A00D8">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00D8">
            <w:pPr>
              <w:pStyle w:val="BodyText"/>
              <w:rPr>
                <w:lang w:val="en-NZ"/>
              </w:rPr>
            </w:pPr>
            <w:r w:rsidRPr="006A00D8">
              <w:t>1.3.</w:t>
            </w:r>
          </w:p>
        </w:tc>
        <w:tc>
          <w:tcPr>
            <w:tcW w:w="5610" w:type="dxa"/>
            <w:tcBorders>
              <w:top w:val="nil"/>
              <w:left w:val="nil"/>
              <w:bottom w:val="nil"/>
              <w:right w:val="nil"/>
            </w:tcBorders>
            <w:tcMar>
              <w:top w:w="0" w:type="dxa"/>
              <w:left w:w="62" w:type="dxa"/>
              <w:bottom w:w="0" w:type="dxa"/>
              <w:right w:w="62" w:type="dxa"/>
            </w:tcMar>
          </w:tcPr>
          <w:p w:rsidR="00000000" w:rsidP="006A00D8">
            <w:pPr>
              <w:pStyle w:val="BodyText"/>
              <w:rPr>
                <w:lang w:val="en-NZ"/>
              </w:rPr>
            </w:pPr>
            <w:r w:rsidRPr="006A00D8">
              <w:t>Site visits are scheduled and work health and safety (WHS) requirements are identified and confirmed with client and other r</w:t>
            </w:r>
            <w:r w:rsidRPr="006A00D8">
              <w:t>elevant project personnel according to project and workplace requirements.</w:t>
            </w:r>
          </w:p>
        </w:tc>
      </w:tr>
      <w:tr w:rsidTr="006A00D8">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00D8">
            <w:pPr>
              <w:pStyle w:val="BodyText"/>
              <w:rPr>
                <w:lang w:val="en-NZ"/>
              </w:rPr>
            </w:pPr>
            <w:r w:rsidRPr="006A00D8">
              <w:t>1.4.</w:t>
            </w:r>
          </w:p>
        </w:tc>
        <w:tc>
          <w:tcPr>
            <w:tcW w:w="5610" w:type="dxa"/>
            <w:tcBorders>
              <w:top w:val="nil"/>
              <w:left w:val="nil"/>
              <w:bottom w:val="nil"/>
              <w:right w:val="nil"/>
            </w:tcBorders>
            <w:tcMar>
              <w:top w:w="0" w:type="dxa"/>
              <w:left w:w="62" w:type="dxa"/>
              <w:bottom w:w="0" w:type="dxa"/>
              <w:right w:w="62" w:type="dxa"/>
            </w:tcMar>
          </w:tcPr>
          <w:p w:rsidR="00000000" w:rsidP="006A00D8">
            <w:pPr>
              <w:pStyle w:val="BodyText"/>
              <w:rPr>
                <w:lang w:val="en-NZ"/>
              </w:rPr>
            </w:pPr>
            <w:r w:rsidRPr="006A00D8">
              <w:t>Project management processes are implemented and monitored to ensure accurate and timely advice is provided within the scope of specified service levels.</w:t>
            </w:r>
          </w:p>
        </w:tc>
      </w:tr>
      <w:tr w:rsidTr="006A00D8">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00D8">
            <w:pPr>
              <w:pStyle w:val="BodyText"/>
              <w:rPr>
                <w:lang w:val="en-NZ"/>
              </w:rPr>
            </w:pPr>
            <w:r w:rsidRPr="006A00D8">
              <w:t>1.5.</w:t>
            </w:r>
          </w:p>
        </w:tc>
        <w:tc>
          <w:tcPr>
            <w:tcW w:w="5610" w:type="dxa"/>
            <w:tcBorders>
              <w:top w:val="nil"/>
              <w:left w:val="nil"/>
              <w:bottom w:val="nil"/>
              <w:right w:val="nil"/>
            </w:tcBorders>
            <w:tcMar>
              <w:top w:w="0" w:type="dxa"/>
              <w:left w:w="62" w:type="dxa"/>
              <w:bottom w:w="0" w:type="dxa"/>
              <w:right w:w="62" w:type="dxa"/>
            </w:tcMar>
          </w:tcPr>
          <w:p w:rsidR="00000000" w:rsidP="006A00D8">
            <w:pPr>
              <w:pStyle w:val="BodyText"/>
              <w:rPr>
                <w:lang w:val="en-NZ"/>
              </w:rPr>
            </w:pPr>
            <w:r w:rsidRPr="006A00D8">
              <w:t>Project documentation is obtained and approved designs, compliance requirements, construction methods and materials specified are analysed.</w:t>
            </w:r>
          </w:p>
        </w:tc>
      </w:tr>
      <w:tr w:rsidTr="006A00D8">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00D8">
            <w:pPr>
              <w:pStyle w:val="BodyText"/>
              <w:rPr>
                <w:lang w:val="en-NZ"/>
              </w:rPr>
            </w:pPr>
            <w:r w:rsidRPr="006A00D8">
              <w:t>1.6.</w:t>
            </w:r>
          </w:p>
        </w:tc>
        <w:tc>
          <w:tcPr>
            <w:tcW w:w="5610" w:type="dxa"/>
            <w:tcBorders>
              <w:top w:val="nil"/>
              <w:left w:val="nil"/>
              <w:bottom w:val="nil"/>
              <w:right w:val="nil"/>
            </w:tcBorders>
            <w:tcMar>
              <w:top w:w="0" w:type="dxa"/>
              <w:left w:w="62" w:type="dxa"/>
              <w:bottom w:w="0" w:type="dxa"/>
              <w:right w:w="62" w:type="dxa"/>
            </w:tcMar>
          </w:tcPr>
          <w:p w:rsidR="00000000" w:rsidP="006A00D8">
            <w:pPr>
              <w:pStyle w:val="BodyText"/>
              <w:rPr>
                <w:lang w:val="en-NZ"/>
              </w:rPr>
            </w:pPr>
            <w:r w:rsidRPr="006A00D8">
              <w:t>File management processes are implemented and monitored according to workplace requirements.</w:t>
            </w:r>
          </w:p>
        </w:tc>
      </w:tr>
      <w:tr w:rsidTr="006A00D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6A00D8">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6A00D8">
            <w:pPr>
              <w:pStyle w:val="BodyText"/>
              <w:rPr>
                <w:lang w:val="en-NZ"/>
              </w:rPr>
            </w:pPr>
            <w:r w:rsidRPr="006A00D8">
              <w:t>2.</w:t>
            </w:r>
          </w:p>
        </w:tc>
        <w:tc>
          <w:tcPr>
            <w:tcW w:w="2100" w:type="dxa"/>
            <w:vMerge w:val="restart"/>
            <w:tcBorders>
              <w:top w:val="nil"/>
              <w:left w:val="nil"/>
              <w:bottom w:val="nil"/>
              <w:right w:val="nil"/>
            </w:tcBorders>
            <w:tcMar>
              <w:top w:w="0" w:type="dxa"/>
              <w:left w:w="62" w:type="dxa"/>
              <w:bottom w:w="0" w:type="dxa"/>
              <w:right w:w="62" w:type="dxa"/>
            </w:tcMar>
          </w:tcPr>
          <w:p w:rsidR="00000000" w:rsidP="006A00D8">
            <w:pPr>
              <w:pStyle w:val="BodyText"/>
              <w:rPr>
                <w:lang w:val="en-NZ"/>
              </w:rPr>
            </w:pPr>
            <w:r w:rsidRPr="006A00D8">
              <w:t>Identify and advise on construction faults.</w:t>
            </w:r>
          </w:p>
        </w:tc>
        <w:tc>
          <w:tcPr>
            <w:tcW w:w="770" w:type="dxa"/>
            <w:tcBorders>
              <w:top w:val="nil"/>
              <w:left w:val="nil"/>
              <w:bottom w:val="nil"/>
              <w:right w:val="nil"/>
            </w:tcBorders>
            <w:tcMar>
              <w:top w:w="0" w:type="dxa"/>
              <w:left w:w="62" w:type="dxa"/>
              <w:bottom w:w="0" w:type="dxa"/>
              <w:right w:w="62" w:type="dxa"/>
            </w:tcMar>
          </w:tcPr>
          <w:p w:rsidR="00000000" w:rsidP="006A00D8">
            <w:pPr>
              <w:pStyle w:val="BodyText"/>
              <w:rPr>
                <w:lang w:val="en-NZ"/>
              </w:rPr>
            </w:pPr>
            <w:r w:rsidRPr="006A00D8">
              <w:t>2.1.</w:t>
            </w:r>
          </w:p>
        </w:tc>
        <w:tc>
          <w:tcPr>
            <w:tcW w:w="5610" w:type="dxa"/>
            <w:tcBorders>
              <w:top w:val="nil"/>
              <w:left w:val="nil"/>
              <w:bottom w:val="nil"/>
              <w:right w:val="nil"/>
            </w:tcBorders>
            <w:tcMar>
              <w:top w:w="0" w:type="dxa"/>
              <w:left w:w="62" w:type="dxa"/>
              <w:bottom w:w="0" w:type="dxa"/>
              <w:right w:w="62" w:type="dxa"/>
            </w:tcMar>
          </w:tcPr>
          <w:p w:rsidR="00000000" w:rsidP="006A00D8">
            <w:pPr>
              <w:pStyle w:val="BodyText"/>
              <w:rPr>
                <w:lang w:val="en-NZ"/>
              </w:rPr>
            </w:pPr>
            <w:r w:rsidRPr="006A00D8">
              <w:t>Construction work is monitored according to agreed schedule and assessed against approved designs, specifications and compliance requirements.</w:t>
            </w:r>
          </w:p>
        </w:tc>
      </w:tr>
      <w:tr w:rsidTr="006A00D8">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00D8">
            <w:pPr>
              <w:pStyle w:val="BodyText"/>
              <w:rPr>
                <w:lang w:val="en-NZ"/>
              </w:rPr>
            </w:pPr>
            <w:r w:rsidRPr="006A00D8">
              <w:t>2.2.</w:t>
            </w:r>
          </w:p>
        </w:tc>
        <w:tc>
          <w:tcPr>
            <w:tcW w:w="5610" w:type="dxa"/>
            <w:tcBorders>
              <w:top w:val="nil"/>
              <w:left w:val="nil"/>
              <w:bottom w:val="nil"/>
              <w:right w:val="nil"/>
            </w:tcBorders>
            <w:tcMar>
              <w:top w:w="0" w:type="dxa"/>
              <w:left w:w="62" w:type="dxa"/>
              <w:bottom w:w="0" w:type="dxa"/>
              <w:right w:w="62" w:type="dxa"/>
            </w:tcMar>
          </w:tcPr>
          <w:p w:rsidR="00000000" w:rsidP="006A00D8">
            <w:pPr>
              <w:pStyle w:val="BodyText"/>
              <w:rPr>
                <w:lang w:val="en-NZ"/>
              </w:rPr>
            </w:pPr>
            <w:r w:rsidRPr="006A00D8">
              <w:t>Faults in construction work are identified, documented a</w:t>
            </w:r>
            <w:r w:rsidRPr="006A00D8">
              <w:t xml:space="preserve">nd discussed with relevant on-site personnel according </w:t>
            </w:r>
            <w:r w:rsidRPr="006A00D8">
              <w:t>to project and workplace requirements.</w:t>
            </w:r>
          </w:p>
        </w:tc>
      </w:tr>
      <w:tr w:rsidTr="006A00D8">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A00D8" w:rsidP="006A00D8">
            <w:pPr>
              <w:pStyle w:val="BodyText"/>
            </w:pPr>
            <w:r w:rsidRPr="006A00D8">
              <w:t>2.3.</w:t>
            </w:r>
          </w:p>
        </w:tc>
        <w:tc>
          <w:tcPr>
            <w:tcW w:w="5610" w:type="dxa"/>
            <w:tcBorders>
              <w:top w:val="nil"/>
              <w:left w:val="nil"/>
              <w:bottom w:val="nil"/>
              <w:right w:val="nil"/>
            </w:tcBorders>
            <w:tcMar>
              <w:top w:w="0" w:type="dxa"/>
              <w:left w:w="62" w:type="dxa"/>
              <w:bottom w:w="0" w:type="dxa"/>
              <w:right w:w="62" w:type="dxa"/>
            </w:tcMar>
          </w:tcPr>
          <w:p w:rsidR="00000000" w:rsidP="006A00D8">
            <w:pPr>
              <w:pStyle w:val="BodyText"/>
              <w:rPr>
                <w:lang w:val="en-NZ"/>
              </w:rPr>
            </w:pPr>
            <w:r w:rsidRPr="006A00D8">
              <w:rPr>
                <w:rStyle w:val="BoldandItalics"/>
              </w:rPr>
              <w:t>Options for rectifying construction faults</w:t>
            </w:r>
            <w:r w:rsidRPr="006A00D8">
              <w:t xml:space="preserve"> are developed and evaluated in consultation with client and relevant on-site personnel.</w:t>
            </w:r>
          </w:p>
        </w:tc>
      </w:tr>
      <w:tr w:rsidTr="006A00D8">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00D8">
            <w:pPr>
              <w:pStyle w:val="BodyText"/>
              <w:rPr>
                <w:lang w:val="en-NZ"/>
              </w:rPr>
            </w:pPr>
            <w:r w:rsidRPr="006A00D8">
              <w:t>2.4.</w:t>
            </w:r>
          </w:p>
        </w:tc>
        <w:tc>
          <w:tcPr>
            <w:tcW w:w="5610" w:type="dxa"/>
            <w:tcBorders>
              <w:top w:val="nil"/>
              <w:left w:val="nil"/>
              <w:bottom w:val="nil"/>
              <w:right w:val="nil"/>
            </w:tcBorders>
            <w:tcMar>
              <w:top w:w="0" w:type="dxa"/>
              <w:left w:w="62" w:type="dxa"/>
              <w:bottom w:w="0" w:type="dxa"/>
              <w:right w:w="62" w:type="dxa"/>
            </w:tcMar>
          </w:tcPr>
          <w:p w:rsidR="00000000" w:rsidP="006A00D8">
            <w:pPr>
              <w:pStyle w:val="BodyText"/>
              <w:rPr>
                <w:lang w:val="en-NZ"/>
              </w:rPr>
            </w:pPr>
            <w:r w:rsidRPr="006A00D8">
              <w:t>Rectification work is assessed to ensure it meets compliance requirements and assessment documentation is completed and provided to client according to project and workplace requirements.</w:t>
            </w:r>
          </w:p>
        </w:tc>
      </w:tr>
      <w:tr w:rsidTr="006A00D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6A00D8">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6A00D8">
            <w:pPr>
              <w:pStyle w:val="BodyText"/>
              <w:rPr>
                <w:lang w:val="en-NZ"/>
              </w:rPr>
            </w:pPr>
            <w:r w:rsidRPr="006A00D8">
              <w:t>3.</w:t>
            </w:r>
          </w:p>
        </w:tc>
        <w:tc>
          <w:tcPr>
            <w:tcW w:w="2100" w:type="dxa"/>
            <w:vMerge w:val="restart"/>
            <w:tcBorders>
              <w:top w:val="nil"/>
              <w:left w:val="nil"/>
              <w:bottom w:val="nil"/>
              <w:right w:val="nil"/>
            </w:tcBorders>
            <w:tcMar>
              <w:top w:w="0" w:type="dxa"/>
              <w:left w:w="62" w:type="dxa"/>
              <w:bottom w:w="0" w:type="dxa"/>
              <w:right w:w="62" w:type="dxa"/>
            </w:tcMar>
          </w:tcPr>
          <w:p w:rsidR="00000000" w:rsidP="006A00D8">
            <w:pPr>
              <w:pStyle w:val="BodyText"/>
              <w:rPr>
                <w:lang w:val="en-NZ"/>
              </w:rPr>
            </w:pPr>
            <w:r w:rsidRPr="006A00D8">
              <w:t>Advise on construction problems.</w:t>
            </w:r>
          </w:p>
        </w:tc>
        <w:tc>
          <w:tcPr>
            <w:tcW w:w="770" w:type="dxa"/>
            <w:tcBorders>
              <w:top w:val="nil"/>
              <w:left w:val="nil"/>
              <w:bottom w:val="nil"/>
              <w:right w:val="nil"/>
            </w:tcBorders>
            <w:tcMar>
              <w:top w:w="0" w:type="dxa"/>
              <w:left w:w="62" w:type="dxa"/>
              <w:bottom w:w="0" w:type="dxa"/>
              <w:right w:w="62" w:type="dxa"/>
            </w:tcMar>
          </w:tcPr>
          <w:p w:rsidR="00000000" w:rsidP="006A00D8">
            <w:pPr>
              <w:pStyle w:val="BodyText"/>
              <w:rPr>
                <w:lang w:val="en-NZ"/>
              </w:rPr>
            </w:pPr>
            <w:r w:rsidRPr="006A00D8">
              <w:t>3.1.</w:t>
            </w:r>
          </w:p>
        </w:tc>
        <w:tc>
          <w:tcPr>
            <w:tcW w:w="5610" w:type="dxa"/>
            <w:tcBorders>
              <w:top w:val="nil"/>
              <w:left w:val="nil"/>
              <w:bottom w:val="nil"/>
              <w:right w:val="nil"/>
            </w:tcBorders>
            <w:tcMar>
              <w:top w:w="0" w:type="dxa"/>
              <w:left w:w="62" w:type="dxa"/>
              <w:bottom w:w="0" w:type="dxa"/>
              <w:right w:w="62" w:type="dxa"/>
            </w:tcMar>
          </w:tcPr>
          <w:p w:rsidR="00000000" w:rsidRPr="006A00D8" w:rsidP="006A00D8">
            <w:pPr>
              <w:pStyle w:val="BodyText"/>
            </w:pPr>
            <w:r w:rsidRPr="006A00D8">
              <w:t>Advice on interpretation of compliance requirements, working drawings and specifications is provided to on-site personnel according to agreed service levels.</w:t>
            </w:r>
          </w:p>
          <w:p w:rsidR="00000000" w:rsidP="006A00D8">
            <w:pPr>
              <w:pStyle w:val="BodyText"/>
              <w:rPr>
                <w:lang w:val="en-NZ"/>
              </w:rPr>
            </w:pPr>
          </w:p>
        </w:tc>
      </w:tr>
      <w:tr w:rsidTr="006A00D8">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00D8">
            <w:pPr>
              <w:pStyle w:val="BodyText"/>
              <w:rPr>
                <w:lang w:val="en-NZ"/>
              </w:rPr>
            </w:pPr>
            <w:r w:rsidRPr="006A00D8">
              <w:t>3.2.</w:t>
            </w:r>
          </w:p>
        </w:tc>
        <w:tc>
          <w:tcPr>
            <w:tcW w:w="5610" w:type="dxa"/>
            <w:tcBorders>
              <w:top w:val="nil"/>
              <w:left w:val="nil"/>
              <w:bottom w:val="nil"/>
              <w:right w:val="nil"/>
            </w:tcBorders>
            <w:tcMar>
              <w:top w:w="0" w:type="dxa"/>
              <w:left w:w="62" w:type="dxa"/>
              <w:bottom w:w="0" w:type="dxa"/>
              <w:right w:w="62" w:type="dxa"/>
            </w:tcMar>
          </w:tcPr>
          <w:p w:rsidR="00000000" w:rsidP="006A00D8">
            <w:pPr>
              <w:pStyle w:val="BodyText"/>
              <w:rPr>
                <w:lang w:val="en-NZ"/>
              </w:rPr>
            </w:pPr>
            <w:r w:rsidRPr="006A00D8">
              <w:t>Problems arising during construction work are analysed and discussed with client and on-s</w:t>
            </w:r>
            <w:r w:rsidRPr="006A00D8">
              <w:t>ite personnel according to project and workplace requirements.</w:t>
            </w:r>
          </w:p>
        </w:tc>
      </w:tr>
      <w:tr w:rsidTr="006A00D8">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A00D8" w:rsidP="006A00D8">
            <w:pPr>
              <w:pStyle w:val="BodyText"/>
            </w:pPr>
            <w:r w:rsidRPr="006A00D8">
              <w:t>3.3.</w:t>
            </w:r>
          </w:p>
        </w:tc>
        <w:tc>
          <w:tcPr>
            <w:tcW w:w="5610" w:type="dxa"/>
            <w:tcBorders>
              <w:top w:val="nil"/>
              <w:left w:val="nil"/>
              <w:bottom w:val="nil"/>
              <w:right w:val="nil"/>
            </w:tcBorders>
            <w:tcMar>
              <w:top w:w="0" w:type="dxa"/>
              <w:left w:w="62" w:type="dxa"/>
              <w:bottom w:w="0" w:type="dxa"/>
              <w:right w:w="62" w:type="dxa"/>
            </w:tcMar>
          </w:tcPr>
          <w:p w:rsidR="00000000" w:rsidP="006A00D8">
            <w:pPr>
              <w:pStyle w:val="BodyText"/>
              <w:rPr>
                <w:lang w:val="en-NZ"/>
              </w:rPr>
            </w:pPr>
            <w:r w:rsidRPr="006A00D8">
              <w:rPr>
                <w:rStyle w:val="BoldandItalics"/>
              </w:rPr>
              <w:t>Solutions to construction problems</w:t>
            </w:r>
            <w:r w:rsidRPr="006A00D8">
              <w:t xml:space="preserve"> are developed and evaluated in consultation with client and relevant on-site personnel.</w:t>
            </w:r>
          </w:p>
        </w:tc>
      </w:tr>
      <w:tr w:rsidTr="006A00D8">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00D8">
            <w:pPr>
              <w:pStyle w:val="BodyText"/>
              <w:rPr>
                <w:lang w:val="en-NZ"/>
              </w:rPr>
            </w:pPr>
            <w:r w:rsidRPr="006A00D8">
              <w:t>3.4.</w:t>
            </w:r>
          </w:p>
        </w:tc>
        <w:tc>
          <w:tcPr>
            <w:tcW w:w="5610" w:type="dxa"/>
            <w:tcBorders>
              <w:top w:val="nil"/>
              <w:left w:val="nil"/>
              <w:bottom w:val="nil"/>
              <w:right w:val="nil"/>
            </w:tcBorders>
            <w:tcMar>
              <w:top w:w="0" w:type="dxa"/>
              <w:left w:w="62" w:type="dxa"/>
              <w:bottom w:w="0" w:type="dxa"/>
              <w:right w:w="62" w:type="dxa"/>
            </w:tcMar>
          </w:tcPr>
          <w:p w:rsidR="00000000" w:rsidP="006A00D8">
            <w:pPr>
              <w:pStyle w:val="BodyText"/>
              <w:rPr>
                <w:lang w:val="en-NZ"/>
              </w:rPr>
            </w:pPr>
            <w:r w:rsidRPr="006A00D8">
              <w:t>Detailed sketches and notes relating to solutions to construction problems are developed and provided to client and relevant on-site personnel according to project and workplace requirements.</w:t>
            </w:r>
          </w:p>
        </w:tc>
      </w:tr>
      <w:tr w:rsidTr="006A00D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6A00D8">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6A00D8">
            <w:pPr>
              <w:pStyle w:val="BodyText"/>
              <w:rPr>
                <w:lang w:val="en-NZ"/>
              </w:rPr>
            </w:pPr>
            <w:r w:rsidRPr="006A00D8">
              <w:t>4.</w:t>
            </w:r>
          </w:p>
        </w:tc>
        <w:tc>
          <w:tcPr>
            <w:tcW w:w="2100" w:type="dxa"/>
            <w:vMerge w:val="restart"/>
            <w:tcBorders>
              <w:top w:val="nil"/>
              <w:left w:val="nil"/>
              <w:bottom w:val="nil"/>
              <w:right w:val="nil"/>
            </w:tcBorders>
            <w:tcMar>
              <w:top w:w="0" w:type="dxa"/>
              <w:left w:w="62" w:type="dxa"/>
              <w:bottom w:w="0" w:type="dxa"/>
              <w:right w:w="62" w:type="dxa"/>
            </w:tcMar>
          </w:tcPr>
          <w:p w:rsidR="00000000" w:rsidP="006A00D8">
            <w:pPr>
              <w:pStyle w:val="BodyText"/>
              <w:rPr>
                <w:lang w:val="en-NZ"/>
              </w:rPr>
            </w:pPr>
            <w:r w:rsidRPr="006A00D8">
              <w:t>Prepare reports.</w:t>
            </w:r>
          </w:p>
        </w:tc>
        <w:tc>
          <w:tcPr>
            <w:tcW w:w="770" w:type="dxa"/>
            <w:tcBorders>
              <w:top w:val="nil"/>
              <w:left w:val="nil"/>
              <w:bottom w:val="nil"/>
              <w:right w:val="nil"/>
            </w:tcBorders>
            <w:tcMar>
              <w:top w:w="0" w:type="dxa"/>
              <w:left w:w="62" w:type="dxa"/>
              <w:bottom w:w="0" w:type="dxa"/>
              <w:right w:w="62" w:type="dxa"/>
            </w:tcMar>
          </w:tcPr>
          <w:p w:rsidR="00000000" w:rsidP="006A00D8">
            <w:pPr>
              <w:pStyle w:val="BodyText"/>
              <w:rPr>
                <w:lang w:val="en-NZ"/>
              </w:rPr>
            </w:pPr>
            <w:r w:rsidRPr="006A00D8">
              <w:t>4.1.</w:t>
            </w:r>
          </w:p>
        </w:tc>
        <w:tc>
          <w:tcPr>
            <w:tcW w:w="5610" w:type="dxa"/>
            <w:tcBorders>
              <w:top w:val="nil"/>
              <w:left w:val="nil"/>
              <w:bottom w:val="nil"/>
              <w:right w:val="nil"/>
            </w:tcBorders>
            <w:tcMar>
              <w:top w:w="0" w:type="dxa"/>
              <w:left w:w="62" w:type="dxa"/>
              <w:bottom w:w="0" w:type="dxa"/>
              <w:right w:w="62" w:type="dxa"/>
            </w:tcMar>
          </w:tcPr>
          <w:p w:rsidR="00000000" w:rsidP="006A00D8">
            <w:pPr>
              <w:pStyle w:val="BodyText"/>
              <w:rPr>
                <w:lang w:val="en-NZ"/>
              </w:rPr>
            </w:pPr>
            <w:r w:rsidRPr="006A00D8">
              <w:t>Drawings and documentation from d</w:t>
            </w:r>
            <w:r w:rsidRPr="006A00D8">
              <w:t>ifferent site visits to construction project are collated and reviewed.</w:t>
            </w:r>
          </w:p>
        </w:tc>
      </w:tr>
      <w:tr w:rsidTr="006A00D8">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00D8">
            <w:pPr>
              <w:pStyle w:val="BodyText"/>
              <w:rPr>
                <w:lang w:val="en-NZ"/>
              </w:rPr>
            </w:pPr>
            <w:r w:rsidRPr="006A00D8">
              <w:t>4.2.</w:t>
            </w:r>
          </w:p>
        </w:tc>
        <w:tc>
          <w:tcPr>
            <w:tcW w:w="5610" w:type="dxa"/>
            <w:tcBorders>
              <w:top w:val="nil"/>
              <w:left w:val="nil"/>
              <w:bottom w:val="nil"/>
              <w:right w:val="nil"/>
            </w:tcBorders>
            <w:tcMar>
              <w:top w:w="0" w:type="dxa"/>
              <w:left w:w="62" w:type="dxa"/>
              <w:bottom w:w="0" w:type="dxa"/>
              <w:right w:w="62" w:type="dxa"/>
            </w:tcMar>
          </w:tcPr>
          <w:p w:rsidR="00000000" w:rsidP="006A00D8">
            <w:pPr>
              <w:pStyle w:val="BodyText"/>
              <w:rPr>
                <w:lang w:val="en-NZ"/>
              </w:rPr>
            </w:pPr>
            <w:r w:rsidRPr="006A00D8">
              <w:t>Details of monitoring and advisory services to the construction project are reported, including faults and problems addressed.</w:t>
            </w:r>
          </w:p>
        </w:tc>
      </w:tr>
      <w:tr w:rsidTr="006A00D8">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00D8">
            <w:pPr>
              <w:pStyle w:val="BodyText"/>
              <w:rPr>
                <w:lang w:val="en-NZ"/>
              </w:rPr>
            </w:pPr>
            <w:r w:rsidRPr="006A00D8">
              <w:t>4.3.</w:t>
            </w:r>
          </w:p>
        </w:tc>
        <w:tc>
          <w:tcPr>
            <w:tcW w:w="5610" w:type="dxa"/>
            <w:tcBorders>
              <w:top w:val="nil"/>
              <w:left w:val="nil"/>
              <w:bottom w:val="nil"/>
              <w:right w:val="nil"/>
            </w:tcBorders>
            <w:tcMar>
              <w:top w:w="0" w:type="dxa"/>
              <w:left w:w="62" w:type="dxa"/>
              <w:bottom w:w="0" w:type="dxa"/>
              <w:right w:w="62" w:type="dxa"/>
            </w:tcMar>
          </w:tcPr>
          <w:p w:rsidR="00000000" w:rsidP="006A00D8">
            <w:pPr>
              <w:pStyle w:val="BodyText"/>
              <w:rPr>
                <w:lang w:val="en-NZ"/>
              </w:rPr>
            </w:pPr>
            <w:r w:rsidRPr="006A00D8">
              <w:t>Report is submitted to and discussed with client, and questions are invited and addressed.</w:t>
            </w:r>
          </w:p>
        </w:tc>
      </w:tr>
      <w:tr w:rsidTr="006A00D8">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00D8">
            <w:pPr>
              <w:pStyle w:val="BodyText"/>
              <w:rPr>
                <w:lang w:val="en-NZ"/>
              </w:rPr>
            </w:pPr>
            <w:r w:rsidRPr="006A00D8">
              <w:t>4.4.</w:t>
            </w:r>
          </w:p>
        </w:tc>
        <w:tc>
          <w:tcPr>
            <w:tcW w:w="5610" w:type="dxa"/>
            <w:tcBorders>
              <w:top w:val="nil"/>
              <w:left w:val="nil"/>
              <w:bottom w:val="nil"/>
              <w:right w:val="nil"/>
            </w:tcBorders>
            <w:tcMar>
              <w:top w:w="0" w:type="dxa"/>
              <w:left w:w="62" w:type="dxa"/>
              <w:bottom w:w="0" w:type="dxa"/>
              <w:right w:w="62" w:type="dxa"/>
            </w:tcMar>
          </w:tcPr>
          <w:p w:rsidR="00000000" w:rsidRPr="006A00D8" w:rsidP="006A00D8">
            <w:pPr>
              <w:pStyle w:val="BodyText"/>
            </w:pPr>
            <w:r w:rsidRPr="006A00D8">
              <w:t>Solutions to construction faults and problems relevant to future workplace projects are reported and processed according to workplace procedures.</w:t>
            </w:r>
          </w:p>
        </w:tc>
      </w:tr>
    </w:tbl>
    <w:p w:rsidR="00000000" w:rsidRPr="006A00D8" w:rsidP="006A00D8">
      <w:pPr>
        <w:pStyle w:val="BodyText"/>
      </w:pPr>
    </w:p>
    <w:p w:rsidR="00000000" w:rsidRPr="006A00D8" w:rsidP="006A00D8">
      <w:pPr>
        <w:pStyle w:val="AllowPageBreak"/>
      </w:pPr>
    </w:p>
    <w:p w:rsidR="00000000" w:rsidRPr="006A00D8" w:rsidP="006A00D8">
      <w:pPr>
        <w:pStyle w:val="Heading1"/>
      </w:pPr>
      <w:bookmarkStart w:id="7" w:name="O_867829"/>
      <w:bookmarkEnd w:id="7"/>
      <w:r w:rsidRPr="006A00D8">
        <w:t>Foundation Skills</w:t>
      </w:r>
    </w:p>
    <w:tbl>
      <w:tblPr>
        <w:tblW w:w="0" w:type="auto"/>
        <w:tblLayout w:type="fixed"/>
        <w:tblCellMar>
          <w:left w:w="62" w:type="dxa"/>
          <w:right w:w="62" w:type="dxa"/>
        </w:tblCellMar>
        <w:tblLook w:val="0000"/>
      </w:tblPr>
      <w:tblGrid>
        <w:gridCol w:w="2256"/>
        <w:gridCol w:w="6878"/>
      </w:tblGrid>
      <w:tr w:rsidTr="006A00D8">
        <w:tblPrEx>
          <w:tblW w:w="0" w:type="auto"/>
          <w:tblLayout w:type="fixed"/>
          <w:tblCellMar>
            <w:left w:w="62" w:type="dxa"/>
            <w:right w:w="62" w:type="dxa"/>
          </w:tblCellMar>
          <w:tblLook w:val="0000"/>
        </w:tblPrEx>
        <w:trPr>
          <w:tblHeader/>
        </w:trPr>
        <w:tc>
          <w:tcPr>
            <w:tcW w:w="9134" w:type="dxa"/>
            <w:gridSpan w:val="2"/>
            <w:tcBorders>
              <w:top w:val="nil"/>
              <w:left w:val="nil"/>
              <w:bottom w:val="nil"/>
              <w:right w:val="nil"/>
            </w:tcBorders>
            <w:tcMar>
              <w:top w:w="0" w:type="dxa"/>
              <w:left w:w="62" w:type="dxa"/>
              <w:bottom w:w="0" w:type="dxa"/>
              <w:right w:w="62" w:type="dxa"/>
            </w:tcMar>
          </w:tcPr>
          <w:p w:rsidR="00000000" w:rsidP="006A00D8">
            <w:pPr>
              <w:pStyle w:val="BodyText"/>
              <w:rPr>
                <w:lang w:val="en-NZ"/>
              </w:rPr>
            </w:pPr>
            <w:r w:rsidRPr="006A00D8">
              <w:t>This section describes the language, literacy, numeracy and employment skills essential to performance in this unit but not explicit in the performance criteria.</w:t>
            </w:r>
          </w:p>
        </w:tc>
      </w:tr>
      <w:tr w:rsidTr="006A00D8">
        <w:tblPrEx>
          <w:tblW w:w="0" w:type="auto"/>
          <w:tblLayout w:type="fixed"/>
          <w:tblCellMar>
            <w:left w:w="62" w:type="dxa"/>
            <w:right w:w="62" w:type="dxa"/>
          </w:tblCellMar>
          <w:tblLook w:val="0000"/>
        </w:tblPrEx>
        <w:trPr>
          <w:tblHeader/>
        </w:trPr>
        <w:tc>
          <w:tcPr>
            <w:tcW w:w="2256" w:type="dxa"/>
            <w:tcBorders>
              <w:top w:val="nil"/>
              <w:left w:val="nil"/>
              <w:bottom w:val="nil"/>
              <w:right w:val="nil"/>
            </w:tcBorders>
            <w:tcMar>
              <w:top w:w="0" w:type="dxa"/>
              <w:left w:w="62" w:type="dxa"/>
              <w:bottom w:w="0" w:type="dxa"/>
              <w:right w:w="62" w:type="dxa"/>
            </w:tcMar>
          </w:tcPr>
          <w:p w:rsidR="00000000" w:rsidRPr="006A00D8" w:rsidP="006A00D8">
            <w:pPr>
              <w:pStyle w:val="BodyText"/>
            </w:pPr>
            <w:r w:rsidRPr="006A00D8">
              <w:rPr>
                <w:rStyle w:val="SpecialBold"/>
              </w:rPr>
              <w:t>Skill</w:t>
            </w:r>
          </w:p>
        </w:tc>
        <w:tc>
          <w:tcPr>
            <w:tcW w:w="6878" w:type="dxa"/>
            <w:tcBorders>
              <w:top w:val="nil"/>
              <w:left w:val="nil"/>
              <w:bottom w:val="nil"/>
              <w:right w:val="nil"/>
            </w:tcBorders>
            <w:tcMar>
              <w:top w:w="0" w:type="dxa"/>
              <w:left w:w="62" w:type="dxa"/>
              <w:bottom w:w="0" w:type="dxa"/>
              <w:right w:w="62" w:type="dxa"/>
            </w:tcMar>
          </w:tcPr>
          <w:p w:rsidR="00000000" w:rsidP="006A00D8">
            <w:pPr>
              <w:pStyle w:val="BodyText"/>
              <w:rPr>
                <w:lang w:val="en-NZ"/>
              </w:rPr>
            </w:pPr>
            <w:r w:rsidRPr="006A00D8">
              <w:rPr>
                <w:rStyle w:val="SpecialBold"/>
              </w:rPr>
              <w:t>Performance feature</w:t>
            </w:r>
          </w:p>
        </w:tc>
      </w:tr>
      <w:tr w:rsidTr="006A00D8">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6A00D8">
            <w:pPr>
              <w:pStyle w:val="BodyText"/>
              <w:rPr>
                <w:lang w:val="en-NZ"/>
              </w:rPr>
            </w:pPr>
            <w:r w:rsidRPr="006A00D8">
              <w:t>Learning skills to:</w:t>
            </w:r>
          </w:p>
        </w:tc>
        <w:tc>
          <w:tcPr>
            <w:tcW w:w="6878" w:type="dxa"/>
            <w:tcBorders>
              <w:top w:val="nil"/>
              <w:left w:val="nil"/>
              <w:bottom w:val="nil"/>
              <w:right w:val="nil"/>
            </w:tcBorders>
            <w:tcMar>
              <w:top w:w="0" w:type="dxa"/>
              <w:left w:w="62" w:type="dxa"/>
              <w:bottom w:w="0" w:type="dxa"/>
              <w:right w:w="62" w:type="dxa"/>
            </w:tcMar>
          </w:tcPr>
          <w:p w:rsidR="00000000" w:rsidRPr="006A00D8" w:rsidP="006A00D8">
            <w:pPr>
              <w:pStyle w:val="ListBullet"/>
            </w:pPr>
            <w:r w:rsidRPr="006A00D8">
              <w:t>independently access and interpret a range of complex technical information relating to compliance requirements for all classes of buildings, including specific requirements for particular geographic and climatic areas and different planning schemes and co</w:t>
            </w:r>
            <w:r w:rsidRPr="006A00D8">
              <w:t>des.</w:t>
            </w:r>
          </w:p>
          <w:p w:rsidR="00000000" w:rsidP="006A00D8">
            <w:pPr>
              <w:pStyle w:val="BodyText"/>
              <w:rPr>
                <w:lang w:val="en-NZ"/>
              </w:rPr>
            </w:pPr>
          </w:p>
        </w:tc>
      </w:tr>
      <w:tr w:rsidTr="006A00D8">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6A00D8">
            <w:pPr>
              <w:pStyle w:val="BodyText"/>
              <w:rPr>
                <w:lang w:val="en-NZ"/>
              </w:rPr>
            </w:pPr>
            <w:r w:rsidRPr="006A00D8">
              <w:t>Numeracy skills to:</w:t>
            </w:r>
          </w:p>
        </w:tc>
        <w:tc>
          <w:tcPr>
            <w:tcW w:w="6878" w:type="dxa"/>
            <w:tcBorders>
              <w:top w:val="nil"/>
              <w:left w:val="nil"/>
              <w:bottom w:val="nil"/>
              <w:right w:val="nil"/>
            </w:tcBorders>
            <w:tcMar>
              <w:top w:w="0" w:type="dxa"/>
              <w:left w:w="62" w:type="dxa"/>
              <w:bottom w:w="0" w:type="dxa"/>
              <w:right w:w="62" w:type="dxa"/>
            </w:tcMar>
          </w:tcPr>
          <w:p w:rsidR="00000000" w:rsidRPr="006A00D8" w:rsidP="006A00D8">
            <w:pPr>
              <w:pStyle w:val="ListBullet"/>
            </w:pPr>
            <w:r w:rsidRPr="006A00D8">
              <w:t>extract and interpret a range of mathematical information contained in technical documentation relating to construction work, including:</w:t>
            </w:r>
          </w:p>
          <w:p w:rsidR="00000000" w:rsidRPr="006A00D8" w:rsidP="006A00D8">
            <w:pPr>
              <w:pStyle w:val="ListBullet2"/>
            </w:pPr>
            <w:r w:rsidRPr="006A00D8">
              <w:t>ratios, rates and proportions</w:t>
            </w:r>
          </w:p>
          <w:p w:rsidR="00000000" w:rsidRPr="006A00D8" w:rsidP="006A00D8">
            <w:pPr>
              <w:pStyle w:val="ListBullet2"/>
            </w:pPr>
            <w:r w:rsidRPr="006A00D8">
              <w:t xml:space="preserve">detailed plans. </w:t>
            </w:r>
          </w:p>
          <w:p w:rsidR="00000000" w:rsidP="006A00D8">
            <w:pPr>
              <w:pStyle w:val="BodyText"/>
              <w:rPr>
                <w:lang w:val="en-NZ"/>
              </w:rPr>
            </w:pPr>
          </w:p>
        </w:tc>
      </w:tr>
      <w:tr w:rsidTr="006A00D8">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6A00D8">
            <w:pPr>
              <w:pStyle w:val="BodyText"/>
              <w:rPr>
                <w:lang w:val="en-NZ"/>
              </w:rPr>
            </w:pPr>
            <w:r w:rsidRPr="006A00D8">
              <w:t>Oral communication skills to:</w:t>
            </w:r>
          </w:p>
        </w:tc>
        <w:tc>
          <w:tcPr>
            <w:tcW w:w="6878" w:type="dxa"/>
            <w:tcBorders>
              <w:top w:val="nil"/>
              <w:left w:val="nil"/>
              <w:bottom w:val="nil"/>
              <w:right w:val="nil"/>
            </w:tcBorders>
            <w:tcMar>
              <w:top w:w="0" w:type="dxa"/>
              <w:left w:w="62" w:type="dxa"/>
              <w:bottom w:w="0" w:type="dxa"/>
              <w:right w:w="62" w:type="dxa"/>
            </w:tcMar>
          </w:tcPr>
          <w:p w:rsidR="00000000" w:rsidRPr="006A00D8" w:rsidP="006A00D8">
            <w:pPr>
              <w:pStyle w:val="ListBullet"/>
            </w:pPr>
            <w:r w:rsidRPr="006A00D8">
              <w:t>determine client requirements regarding nature and scope of advice sought, through open-ended questioning, active listening, paraphrasing and summarising</w:t>
            </w:r>
          </w:p>
          <w:p w:rsidR="00000000" w:rsidRPr="006A00D8" w:rsidP="006A00D8">
            <w:pPr>
              <w:pStyle w:val="ListBullet"/>
            </w:pPr>
            <w:r w:rsidRPr="006A00D8">
              <w:t>understand and use specialised construction industry vocabulary in a variety of situations, for exampl</w:t>
            </w:r>
            <w:r w:rsidRPr="006A00D8">
              <w:t>e explanations, descriptions and discussions with architects, building designers and specialist personnel</w:t>
            </w:r>
          </w:p>
          <w:p w:rsidR="00000000" w:rsidRPr="006A00D8" w:rsidP="006A00D8">
            <w:pPr>
              <w:pStyle w:val="ListBullet"/>
            </w:pPr>
            <w:r w:rsidRPr="006A00D8">
              <w:t>use communication style and technical construction vocabulary to develop and maintain cooperative and professional relationships with building contrac</w:t>
            </w:r>
            <w:r w:rsidRPr="006A00D8">
              <w:t>tors.</w:t>
            </w:r>
          </w:p>
          <w:p w:rsidR="00000000" w:rsidP="006A00D8">
            <w:pPr>
              <w:pStyle w:val="BodyText"/>
              <w:rPr>
                <w:lang w:val="en-NZ"/>
              </w:rPr>
            </w:pPr>
          </w:p>
        </w:tc>
      </w:tr>
      <w:tr w:rsidTr="006A00D8">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6A00D8">
            <w:pPr>
              <w:pStyle w:val="BodyText"/>
              <w:rPr>
                <w:lang w:val="en-NZ"/>
              </w:rPr>
            </w:pPr>
            <w:r w:rsidRPr="006A00D8">
              <w:t>Reading skills to:</w:t>
            </w:r>
          </w:p>
        </w:tc>
        <w:tc>
          <w:tcPr>
            <w:tcW w:w="6878" w:type="dxa"/>
            <w:tcBorders>
              <w:top w:val="nil"/>
              <w:left w:val="nil"/>
              <w:bottom w:val="nil"/>
              <w:right w:val="nil"/>
            </w:tcBorders>
            <w:tcMar>
              <w:top w:w="0" w:type="dxa"/>
              <w:left w:w="62" w:type="dxa"/>
              <w:bottom w:w="0" w:type="dxa"/>
              <w:right w:w="62" w:type="dxa"/>
            </w:tcMar>
          </w:tcPr>
          <w:p w:rsidR="00000000" w:rsidRPr="006A00D8" w:rsidP="006A00D8">
            <w:pPr>
              <w:pStyle w:val="ListBullet"/>
            </w:pPr>
            <w:r w:rsidRPr="006A00D8">
              <w:t>use different reading strategies to locate specific compliance requirements in a range of resources, including the National Construction Code (NCC)</w:t>
            </w:r>
          </w:p>
          <w:p w:rsidR="00000000" w:rsidRPr="006A00D8" w:rsidP="006A00D8">
            <w:pPr>
              <w:pStyle w:val="ListBullet"/>
            </w:pPr>
            <w:r w:rsidRPr="006A00D8">
              <w:t>interpret technical texts with complex structures, specialised vocabulary, acron</w:t>
            </w:r>
            <w:r w:rsidRPr="006A00D8">
              <w:t>yms and diagrams specific to design drawings, specifications and compliance requirements for all classes of buildings</w:t>
            </w:r>
          </w:p>
          <w:p w:rsidR="00000000" w:rsidRPr="006A00D8" w:rsidP="006A00D8">
            <w:pPr>
              <w:pStyle w:val="ListBullet"/>
            </w:pPr>
            <w:r w:rsidRPr="006A00D8">
              <w:t>monitor own understanding of technical texts and apply a range of strategies to ensure correct interpretation of compliance requirements.</w:t>
            </w:r>
          </w:p>
          <w:p w:rsidR="00000000" w:rsidP="006A00D8">
            <w:pPr>
              <w:pStyle w:val="BodyText"/>
              <w:rPr>
                <w:lang w:val="en-NZ"/>
              </w:rPr>
            </w:pPr>
          </w:p>
        </w:tc>
      </w:tr>
      <w:tr w:rsidTr="006A00D8">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6A00D8">
            <w:pPr>
              <w:pStyle w:val="BodyText"/>
              <w:rPr>
                <w:lang w:val="en-NZ"/>
              </w:rPr>
            </w:pPr>
            <w:r w:rsidRPr="006A00D8">
              <w:t>Writing skills to:</w:t>
            </w:r>
          </w:p>
        </w:tc>
        <w:tc>
          <w:tcPr>
            <w:tcW w:w="6878" w:type="dxa"/>
            <w:tcBorders>
              <w:top w:val="nil"/>
              <w:left w:val="nil"/>
              <w:bottom w:val="nil"/>
              <w:right w:val="nil"/>
            </w:tcBorders>
            <w:tcMar>
              <w:top w:w="0" w:type="dxa"/>
              <w:left w:w="62" w:type="dxa"/>
              <w:bottom w:w="0" w:type="dxa"/>
              <w:right w:w="62" w:type="dxa"/>
            </w:tcMar>
          </w:tcPr>
          <w:p w:rsidR="00000000" w:rsidRPr="006A00D8" w:rsidP="006A00D8">
            <w:pPr>
              <w:pStyle w:val="ListBullet"/>
            </w:pPr>
            <w:r w:rsidRPr="006A00D8">
              <w:t>use accurately-spelled technical construction vocabulary relating to solutions to construction problems in notes, diagrams and specifications.</w:t>
            </w:r>
          </w:p>
          <w:p w:rsidR="00000000" w:rsidP="006A00D8">
            <w:pPr>
              <w:pStyle w:val="BodyText"/>
              <w:rPr>
                <w:lang w:val="en-NZ"/>
              </w:rPr>
            </w:pPr>
          </w:p>
        </w:tc>
      </w:tr>
      <w:tr w:rsidTr="006A00D8">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6A00D8">
            <w:pPr>
              <w:pStyle w:val="BodyText"/>
              <w:rPr>
                <w:lang w:val="en-NZ"/>
              </w:rPr>
            </w:pPr>
            <w:r w:rsidRPr="006A00D8">
              <w:t>Problem-solving skills to:</w:t>
            </w:r>
          </w:p>
        </w:tc>
        <w:tc>
          <w:tcPr>
            <w:tcW w:w="6878" w:type="dxa"/>
            <w:tcBorders>
              <w:top w:val="nil"/>
              <w:left w:val="nil"/>
              <w:bottom w:val="nil"/>
              <w:right w:val="nil"/>
            </w:tcBorders>
            <w:tcMar>
              <w:top w:w="0" w:type="dxa"/>
              <w:left w:w="62" w:type="dxa"/>
              <w:bottom w:w="0" w:type="dxa"/>
              <w:right w:w="62" w:type="dxa"/>
            </w:tcMar>
          </w:tcPr>
          <w:p w:rsidR="00000000" w:rsidRPr="006A00D8" w:rsidP="006A00D8">
            <w:pPr>
              <w:pStyle w:val="ListBullet"/>
            </w:pPr>
            <w:r w:rsidRPr="006A00D8">
              <w:t>identify and analyse construction faults and problems and develop a range of possible solutions that comply with NCC performance requirements.</w:t>
            </w:r>
          </w:p>
        </w:tc>
      </w:tr>
    </w:tbl>
    <w:p w:rsidR="00000000" w:rsidRPr="006A00D8" w:rsidP="006A00D8">
      <w:pPr>
        <w:pStyle w:val="BodyText"/>
      </w:pPr>
    </w:p>
    <w:p w:rsidR="00000000" w:rsidRPr="006A00D8" w:rsidP="006A00D8">
      <w:pPr>
        <w:pStyle w:val="AllowPageBreak"/>
      </w:pPr>
    </w:p>
    <w:p w:rsidR="00000000" w:rsidRPr="006A00D8" w:rsidP="006A00D8">
      <w:pPr>
        <w:pStyle w:val="Heading1"/>
      </w:pPr>
      <w:bookmarkStart w:id="8" w:name="O_867828"/>
      <w:bookmarkEnd w:id="8"/>
      <w:r w:rsidRPr="006A00D8">
        <w:t>Range of Conditions</w:t>
      </w:r>
    </w:p>
    <w:tbl>
      <w:tblPr>
        <w:tblW w:w="0" w:type="auto"/>
        <w:tblLayout w:type="fixed"/>
        <w:tblCellMar>
          <w:left w:w="62" w:type="dxa"/>
          <w:right w:w="62" w:type="dxa"/>
        </w:tblCellMar>
        <w:tblLook w:val="0000"/>
      </w:tblPr>
      <w:tblGrid>
        <w:gridCol w:w="2261"/>
        <w:gridCol w:w="6873"/>
      </w:tblGrid>
      <w:tr w:rsidTr="006A00D8">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6A00D8">
            <w:pPr>
              <w:pStyle w:val="BodyText"/>
              <w:rPr>
                <w:lang w:val="en-NZ"/>
              </w:rPr>
            </w:pPr>
            <w:r w:rsidRPr="006A00D8">
              <w:t>This section specifies work environments and conditions that may affect pe</w:t>
            </w:r>
            <w:r w:rsidRPr="006A00D8">
              <w:t>rformance. Essential operating conditions that may be present (depending on the work situation, needs of the candidate, accessibility of the item, and local industry and regional contexts) are included. Bold italicised wording, if used in the performance c</w:t>
            </w:r>
            <w:r w:rsidRPr="006A00D8">
              <w:t>riteria, is detailed below.</w:t>
            </w:r>
          </w:p>
        </w:tc>
      </w:tr>
      <w:tr w:rsidTr="006A00D8">
        <w:tblPrEx>
          <w:tblW w:w="0" w:type="auto"/>
          <w:tblLayout w:type="fixed"/>
          <w:tblCellMar>
            <w:left w:w="62" w:type="dxa"/>
            <w:right w:w="62" w:type="dxa"/>
          </w:tblCellMar>
          <w:tblLook w:val="0000"/>
        </w:tblPrEx>
        <w:tc>
          <w:tcPr>
            <w:tcW w:w="2261" w:type="dxa"/>
            <w:tcBorders>
              <w:top w:val="nil"/>
              <w:left w:val="nil"/>
              <w:bottom w:val="nil"/>
              <w:right w:val="nil"/>
            </w:tcBorders>
            <w:tcMar>
              <w:top w:w="0" w:type="dxa"/>
              <w:left w:w="62" w:type="dxa"/>
              <w:bottom w:w="0" w:type="dxa"/>
              <w:right w:w="62" w:type="dxa"/>
            </w:tcMar>
          </w:tcPr>
          <w:p w:rsidR="00000000" w:rsidP="006A00D8">
            <w:pPr>
              <w:pStyle w:val="BodyText"/>
              <w:rPr>
                <w:lang w:val="en-NZ"/>
              </w:rPr>
            </w:pPr>
            <w:r w:rsidRPr="006A00D8">
              <w:rPr>
                <w:rStyle w:val="BoldandItalics"/>
              </w:rPr>
              <w:t>Options for rectifying construction faults</w:t>
            </w:r>
            <w:r w:rsidRPr="006A00D8">
              <w:t xml:space="preserve"> must include:</w:t>
            </w:r>
          </w:p>
        </w:tc>
        <w:tc>
          <w:tcPr>
            <w:tcW w:w="6873" w:type="dxa"/>
            <w:tcBorders>
              <w:top w:val="nil"/>
              <w:left w:val="nil"/>
              <w:bottom w:val="nil"/>
              <w:right w:val="nil"/>
            </w:tcBorders>
            <w:tcMar>
              <w:top w:w="0" w:type="dxa"/>
              <w:left w:w="62" w:type="dxa"/>
              <w:bottom w:w="0" w:type="dxa"/>
              <w:right w:w="62" w:type="dxa"/>
            </w:tcMar>
          </w:tcPr>
          <w:p w:rsidR="00000000" w:rsidRPr="006A00D8" w:rsidP="006A00D8">
            <w:pPr>
              <w:pStyle w:val="ListBullet"/>
            </w:pPr>
            <w:r w:rsidRPr="006A00D8">
              <w:t>alternative solutions that meet the performance requirements of the NCC</w:t>
            </w:r>
          </w:p>
          <w:p w:rsidR="00000000" w:rsidRPr="006A00D8" w:rsidP="006A00D8">
            <w:pPr>
              <w:pStyle w:val="ListBullet"/>
            </w:pPr>
            <w:r w:rsidRPr="006A00D8">
              <w:t>deemed-to-satisfy NCC solutions</w:t>
            </w:r>
          </w:p>
          <w:p w:rsidR="00000000" w:rsidRPr="006A00D8" w:rsidP="006A00D8">
            <w:pPr>
              <w:pStyle w:val="ListBullet"/>
            </w:pPr>
            <w:r w:rsidRPr="006A00D8">
              <w:t>solutions that meet the requirements of:</w:t>
            </w:r>
          </w:p>
          <w:p w:rsidR="00000000" w:rsidRPr="006A00D8" w:rsidP="006A00D8">
            <w:pPr>
              <w:pStyle w:val="ListBullet2"/>
            </w:pPr>
            <w:r w:rsidRPr="006A00D8">
              <w:t>state or territory and local government legislation and regulations</w:t>
            </w:r>
          </w:p>
          <w:p w:rsidR="00000000" w:rsidRPr="006A00D8" w:rsidP="006A00D8">
            <w:pPr>
              <w:pStyle w:val="ListBullet2"/>
            </w:pPr>
            <w:r w:rsidRPr="006A00D8">
              <w:t>statutory authorities governing:</w:t>
            </w:r>
          </w:p>
          <w:p w:rsidR="00000000" w:rsidRPr="006A00D8" w:rsidP="006A00D8">
            <w:pPr>
              <w:pStyle w:val="ListBullet3"/>
            </w:pPr>
            <w:r w:rsidRPr="006A00D8">
              <w:t>environment</w:t>
            </w:r>
          </w:p>
          <w:p w:rsidR="00000000" w:rsidRPr="006A00D8" w:rsidP="006A00D8">
            <w:pPr>
              <w:pStyle w:val="ListBullet3"/>
            </w:pPr>
            <w:r w:rsidRPr="006A00D8">
              <w:t>fire protection</w:t>
            </w:r>
          </w:p>
          <w:p w:rsidR="00000000" w:rsidRPr="006A00D8" w:rsidP="006A00D8">
            <w:pPr>
              <w:pStyle w:val="ListBullet3"/>
            </w:pPr>
            <w:r w:rsidRPr="006A00D8">
              <w:t>services.</w:t>
            </w:r>
          </w:p>
          <w:p w:rsidR="00000000" w:rsidP="006A00D8">
            <w:pPr>
              <w:pStyle w:val="BodyText"/>
              <w:rPr>
                <w:lang w:val="en-NZ"/>
              </w:rPr>
            </w:pPr>
          </w:p>
        </w:tc>
      </w:tr>
      <w:tr w:rsidTr="006A00D8">
        <w:tblPrEx>
          <w:tblW w:w="0" w:type="auto"/>
          <w:tblLayout w:type="fixed"/>
          <w:tblCellMar>
            <w:left w:w="62" w:type="dxa"/>
            <w:right w:w="62" w:type="dxa"/>
          </w:tblCellMar>
          <w:tblLook w:val="0000"/>
        </w:tblPrEx>
        <w:tc>
          <w:tcPr>
            <w:tcW w:w="2261" w:type="dxa"/>
            <w:tcBorders>
              <w:top w:val="nil"/>
              <w:left w:val="nil"/>
              <w:bottom w:val="nil"/>
              <w:right w:val="nil"/>
            </w:tcBorders>
            <w:tcMar>
              <w:top w:w="0" w:type="dxa"/>
              <w:left w:w="62" w:type="dxa"/>
              <w:bottom w:w="0" w:type="dxa"/>
              <w:right w:w="62" w:type="dxa"/>
            </w:tcMar>
          </w:tcPr>
          <w:p w:rsidR="00000000" w:rsidP="006A00D8">
            <w:pPr>
              <w:pStyle w:val="BodyText"/>
              <w:rPr>
                <w:lang w:val="en-NZ"/>
              </w:rPr>
            </w:pPr>
            <w:r w:rsidRPr="006A00D8">
              <w:rPr>
                <w:rStyle w:val="BoldandItalics"/>
              </w:rPr>
              <w:t>Solutions to construction problems</w:t>
            </w:r>
            <w:r w:rsidRPr="006A00D8">
              <w:t xml:space="preserve"> must include:</w:t>
            </w:r>
          </w:p>
        </w:tc>
        <w:tc>
          <w:tcPr>
            <w:tcW w:w="6873" w:type="dxa"/>
            <w:tcBorders>
              <w:top w:val="nil"/>
              <w:left w:val="nil"/>
              <w:bottom w:val="nil"/>
              <w:right w:val="nil"/>
            </w:tcBorders>
            <w:tcMar>
              <w:top w:w="0" w:type="dxa"/>
              <w:left w:w="62" w:type="dxa"/>
              <w:bottom w:w="0" w:type="dxa"/>
              <w:right w:w="62" w:type="dxa"/>
            </w:tcMar>
          </w:tcPr>
          <w:p w:rsidR="00000000" w:rsidRPr="006A00D8" w:rsidP="006A00D8">
            <w:pPr>
              <w:pStyle w:val="ListBullet"/>
            </w:pPr>
            <w:r w:rsidRPr="006A00D8">
              <w:t>alternative solutions that meet the performance requirements of the NCC</w:t>
            </w:r>
          </w:p>
          <w:p w:rsidR="00000000" w:rsidRPr="006A00D8" w:rsidP="006A00D8">
            <w:pPr>
              <w:pStyle w:val="ListBullet"/>
            </w:pPr>
            <w:r w:rsidRPr="006A00D8">
              <w:t>deemed-to-satisfy NCC solutions</w:t>
            </w:r>
          </w:p>
          <w:p w:rsidR="00000000" w:rsidRPr="006A00D8" w:rsidP="006A00D8">
            <w:pPr>
              <w:pStyle w:val="ListBullet"/>
            </w:pPr>
            <w:r w:rsidRPr="006A00D8">
              <w:t>solutions that meet the requirements of:</w:t>
            </w:r>
          </w:p>
          <w:p w:rsidR="00000000" w:rsidRPr="006A00D8" w:rsidP="006A00D8">
            <w:pPr>
              <w:pStyle w:val="ListBullet2"/>
            </w:pPr>
            <w:r w:rsidRPr="006A00D8">
              <w:t>state or territory and local government legislation and regulations</w:t>
            </w:r>
          </w:p>
          <w:p w:rsidR="00000000" w:rsidRPr="006A00D8" w:rsidP="006A00D8">
            <w:pPr>
              <w:pStyle w:val="ListBullet2"/>
            </w:pPr>
            <w:r w:rsidRPr="006A00D8">
              <w:t>statutory authorities governing:</w:t>
            </w:r>
          </w:p>
          <w:p w:rsidR="00000000" w:rsidRPr="006A00D8" w:rsidP="006A00D8">
            <w:pPr>
              <w:pStyle w:val="ListBullet3"/>
            </w:pPr>
            <w:r w:rsidRPr="006A00D8">
              <w:t>environment</w:t>
            </w:r>
          </w:p>
          <w:p w:rsidR="00000000" w:rsidRPr="006A00D8" w:rsidP="006A00D8">
            <w:pPr>
              <w:pStyle w:val="ListBullet3"/>
            </w:pPr>
            <w:r w:rsidRPr="006A00D8">
              <w:t>fire protection</w:t>
            </w:r>
          </w:p>
          <w:p w:rsidR="00000000" w:rsidRPr="006A00D8" w:rsidP="006A00D8">
            <w:pPr>
              <w:pStyle w:val="ListBullet3"/>
            </w:pPr>
            <w:r w:rsidRPr="006A00D8">
              <w:t>services.</w:t>
            </w:r>
          </w:p>
        </w:tc>
      </w:tr>
    </w:tbl>
    <w:p w:rsidR="00000000" w:rsidRPr="006A00D8" w:rsidP="006A00D8">
      <w:pPr>
        <w:pStyle w:val="BodyText"/>
      </w:pPr>
    </w:p>
    <w:p w:rsidR="00000000" w:rsidRPr="006A00D8" w:rsidP="006A00D8">
      <w:pPr>
        <w:pStyle w:val="AllowPageBreak"/>
      </w:pPr>
    </w:p>
    <w:p w:rsidR="00000000" w:rsidRPr="006A00D8" w:rsidP="006A00D8">
      <w:pPr>
        <w:pStyle w:val="Heading1"/>
      </w:pPr>
      <w:bookmarkStart w:id="9" w:name="O_867827"/>
      <w:bookmarkEnd w:id="9"/>
      <w:r w:rsidRPr="006A00D8">
        <w:t>Unit Mapping Information</w:t>
      </w:r>
    </w:p>
    <w:p w:rsidR="00000000" w:rsidRPr="006A00D8" w:rsidP="00A12D14">
      <w:pPr>
        <w:pStyle w:val="BodyText"/>
      </w:pPr>
      <w:r w:rsidRPr="006A00D8">
        <w:t>No equivalent unit.</w:t>
      </w:r>
    </w:p>
    <w:p w:rsidR="00000000" w:rsidRPr="006A00D8" w:rsidP="006A00D8">
      <w:pPr>
        <w:pStyle w:val="Heading1"/>
      </w:pPr>
      <w:bookmarkStart w:id="10" w:name="O_867836"/>
      <w:bookmarkEnd w:id="10"/>
      <w:r w:rsidRPr="006A00D8">
        <w:t>Links</w:t>
      </w:r>
    </w:p>
    <w:p w:rsidR="00000000" w:rsidRPr="006A00D8" w:rsidP="00A12D14">
      <w:pPr>
        <w:pStyle w:val="BodyText"/>
      </w:pPr>
      <w:r w:rsidRPr="006A00D8">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A529B6">
        <w:rPr>
          <w:rStyle w:val="Hyperlink"/>
        </w:rPr>
        <w:t>https://vetnet.gov.au/Pages/TrainingDocs.aspx?q=7e15fa6a-68b8-4097-b099-030a5569b1ad</w:t>
      </w:r>
      <w:r>
        <w:fldChar w:fldCharType="end"/>
      </w:r>
    </w:p>
    <w:p w:rsidR="00000000" w:rsidRPr="006A00D8" w:rsidP="006A00D8"/>
    <w:sectPr w:rsidSect="006A00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0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0D8" w:rsidRPr="00A12D14" w:rsidP="00A12D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0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D14" w:rsidP="006A00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12D14" w:rsidP="006A00D8">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Artibus Innovation</w:t>
    </w:r>
    <w:r>
      <w:fldChar w:fldCharType="end"/>
    </w:r>
  </w:p>
  <w:p w:rsidR="00A12D14" w:rsidP="006A00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0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D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00D8" w:rsidRPr="00A12D14" w:rsidP="00A12D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0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D14" w:rsidRPr="002D2AF8" w:rsidP="006A00D8">
    <w:pPr>
      <w:pStyle w:val="Header"/>
      <w:framePr w:wrap="around"/>
    </w:pPr>
    <w:r>
      <w:fldChar w:fldCharType="begin"/>
    </w:r>
    <w:r>
      <w:instrText xml:space="preserve"> TITLE   \* MERGEFORMAT </w:instrText>
    </w:r>
    <w:r>
      <w:fldChar w:fldCharType="separate"/>
    </w:r>
    <w:r>
      <w:t>CPCCBS6017 Monitor and advise on construction and compliance upgrade work on buildings up to three storeys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2020</w:t>
    </w:r>
    <w:r>
      <w:fldChar w:fldCharType="end"/>
    </w:r>
  </w:p>
  <w:p w:rsidR="00A12D14" w:rsidP="006A00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7A8B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5E72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AAEB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00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00D8"/>
    <w:pPr>
      <w:spacing w:before="360" w:after="60"/>
      <w:outlineLvl w:val="0"/>
    </w:pPr>
    <w:rPr>
      <w:sz w:val="32"/>
    </w:rPr>
  </w:style>
  <w:style w:type="paragraph" w:styleId="Heading2">
    <w:name w:val="heading 2"/>
    <w:basedOn w:val="HeadingBase"/>
    <w:next w:val="BodyText"/>
    <w:link w:val="Heading2Char"/>
    <w:qFormat/>
    <w:rsid w:val="006A00D8"/>
    <w:pPr>
      <w:keepLines/>
      <w:spacing w:before="240" w:after="120"/>
      <w:outlineLvl w:val="1"/>
    </w:pPr>
    <w:rPr>
      <w:sz w:val="28"/>
      <w:szCs w:val="40"/>
    </w:rPr>
  </w:style>
  <w:style w:type="paragraph" w:styleId="Heading3">
    <w:name w:val="heading 3"/>
    <w:basedOn w:val="HeadingBase"/>
    <w:next w:val="BodyText"/>
    <w:link w:val="Heading3Char"/>
    <w:qFormat/>
    <w:rsid w:val="006A00D8"/>
    <w:pPr>
      <w:spacing w:before="180" w:after="120"/>
      <w:outlineLvl w:val="2"/>
    </w:pPr>
    <w:rPr>
      <w:spacing w:val="-10"/>
      <w:kern w:val="32"/>
    </w:rPr>
  </w:style>
  <w:style w:type="paragraph" w:styleId="Heading4">
    <w:name w:val="heading 4"/>
    <w:basedOn w:val="HeadingBase"/>
    <w:next w:val="BodyText"/>
    <w:link w:val="Heading4Char"/>
    <w:qFormat/>
    <w:rsid w:val="006A00D8"/>
    <w:pPr>
      <w:spacing w:before="160" w:after="120"/>
      <w:outlineLvl w:val="3"/>
    </w:pPr>
    <w:rPr>
      <w:sz w:val="22"/>
    </w:rPr>
  </w:style>
  <w:style w:type="paragraph" w:styleId="Heading5">
    <w:name w:val="heading 5"/>
    <w:basedOn w:val="HeadingBase"/>
    <w:next w:val="Normal"/>
    <w:link w:val="Heading5Char"/>
    <w:qFormat/>
    <w:rsid w:val="006A00D8"/>
    <w:pPr>
      <w:spacing w:before="80"/>
      <w:outlineLvl w:val="4"/>
    </w:pPr>
    <w:rPr>
      <w:color w:val="918585"/>
      <w:sz w:val="20"/>
    </w:rPr>
  </w:style>
  <w:style w:type="paragraph" w:styleId="Heading6">
    <w:name w:val="heading 6"/>
    <w:basedOn w:val="HeadingBase"/>
    <w:next w:val="Normal"/>
    <w:link w:val="Heading6Char"/>
    <w:qFormat/>
    <w:rsid w:val="006A00D8"/>
    <w:pPr>
      <w:spacing w:before="60"/>
      <w:outlineLvl w:val="5"/>
    </w:pPr>
    <w:rPr>
      <w:color w:val="918585"/>
      <w:sz w:val="20"/>
    </w:rPr>
  </w:style>
  <w:style w:type="paragraph" w:styleId="Heading7">
    <w:name w:val="heading 7"/>
    <w:basedOn w:val="Normal"/>
    <w:next w:val="Normal"/>
    <w:link w:val="Heading7Char"/>
    <w:qFormat/>
    <w:rsid w:val="006A00D8"/>
    <w:pPr>
      <w:ind w:left="720"/>
      <w:outlineLvl w:val="6"/>
    </w:pPr>
    <w:rPr>
      <w:i/>
    </w:rPr>
  </w:style>
  <w:style w:type="paragraph" w:styleId="Heading8">
    <w:name w:val="heading 8"/>
    <w:basedOn w:val="Normal"/>
    <w:next w:val="Normal"/>
    <w:link w:val="Heading8Char"/>
    <w:qFormat/>
    <w:rsid w:val="006A00D8"/>
    <w:pPr>
      <w:ind w:left="720"/>
      <w:outlineLvl w:val="7"/>
    </w:pPr>
    <w:rPr>
      <w:i/>
    </w:rPr>
  </w:style>
  <w:style w:type="paragraph" w:styleId="Heading9">
    <w:name w:val="heading 9"/>
    <w:basedOn w:val="Normal"/>
    <w:next w:val="Normal"/>
    <w:link w:val="Heading9Char"/>
    <w:qFormat/>
    <w:rsid w:val="006A00D8"/>
    <w:pPr>
      <w:ind w:left="720"/>
      <w:outlineLvl w:val="8"/>
    </w:pPr>
    <w:rPr>
      <w:i/>
    </w:rPr>
  </w:style>
  <w:style w:type="character" w:default="1" w:styleId="DefaultParagraphFont">
    <w:name w:val="Default Paragraph Font"/>
    <w:uiPriority w:val="1"/>
    <w:unhideWhenUsed/>
    <w:rsid w:val="006A00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00D8"/>
  </w:style>
  <w:style w:type="character" w:customStyle="1" w:styleId="Heading1Char">
    <w:name w:val="Heading 1 Char"/>
    <w:basedOn w:val="DefaultParagraphFont"/>
    <w:link w:val="Heading1"/>
    <w:rsid w:val="006A00D8"/>
    <w:rPr>
      <w:rFonts w:ascii="Times New Roman" w:eastAsia="Times New Roman" w:hAnsi="Times New Roman" w:cs="Times New Roman"/>
      <w:b/>
      <w:sz w:val="32"/>
      <w:szCs w:val="20"/>
      <w:lang w:eastAsia="en-US"/>
    </w:rPr>
  </w:style>
  <w:style w:type="paragraph" w:styleId="BodyText">
    <w:name w:val="Body Text"/>
    <w:basedOn w:val="Normal"/>
    <w:link w:val="BodyTextChar"/>
    <w:rsid w:val="006A00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00D8"/>
    <w:rPr>
      <w:rFonts w:ascii="Times New Roman" w:eastAsia="Times New Roman" w:hAnsi="Times New Roman" w:cs="Times New Roman"/>
      <w:sz w:val="24"/>
      <w:lang w:eastAsia="en-US"/>
    </w:rPr>
  </w:style>
  <w:style w:type="paragraph" w:styleId="ListBullet">
    <w:name w:val="List Bullet"/>
    <w:basedOn w:val="List"/>
    <w:rsid w:val="006A00D8"/>
    <w:pPr>
      <w:numPr>
        <w:numId w:val="13"/>
      </w:numPr>
      <w:tabs>
        <w:tab w:val="clear" w:pos="340"/>
      </w:tabs>
      <w:spacing w:before="40" w:after="40"/>
    </w:pPr>
  </w:style>
  <w:style w:type="character" w:customStyle="1" w:styleId="SpecialBold">
    <w:name w:val="Special Bold"/>
    <w:basedOn w:val="DefaultParagraphFont"/>
    <w:rsid w:val="006A00D8"/>
    <w:rPr>
      <w:b/>
      <w:spacing w:val="0"/>
    </w:rPr>
  </w:style>
  <w:style w:type="paragraph" w:styleId="ListBullet2">
    <w:name w:val="List Bullet 2"/>
    <w:basedOn w:val="List2"/>
    <w:rsid w:val="006A00D8"/>
    <w:pPr>
      <w:numPr>
        <w:numId w:val="14"/>
      </w:numPr>
      <w:tabs>
        <w:tab w:val="clear" w:pos="680"/>
      </w:tabs>
    </w:pPr>
  </w:style>
  <w:style w:type="paragraph" w:customStyle="1" w:styleId="SuperHeading">
    <w:name w:val="SuperHeading"/>
    <w:basedOn w:val="Normal"/>
    <w:rsid w:val="006A00D8"/>
    <w:pPr>
      <w:spacing w:before="240" w:after="120"/>
      <w:outlineLvl w:val="0"/>
    </w:pPr>
    <w:rPr>
      <w:rFonts w:ascii="Times New Roman" w:hAnsi="Times New Roman"/>
      <w:b/>
      <w:sz w:val="32"/>
    </w:rPr>
  </w:style>
  <w:style w:type="paragraph" w:customStyle="1" w:styleId="AllowPageBreak">
    <w:name w:val="AllowPageBreak"/>
    <w:rsid w:val="006A00D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A00D8"/>
    <w:pPr>
      <w:numPr>
        <w:numId w:val="3"/>
      </w:numPr>
      <w:tabs>
        <w:tab w:val="clear" w:pos="1021"/>
      </w:tabs>
      <w:ind w:left="1037" w:hanging="357"/>
    </w:pPr>
  </w:style>
  <w:style w:type="character" w:customStyle="1" w:styleId="BoldandItalics">
    <w:name w:val="Bold and Italics"/>
    <w:qFormat/>
    <w:rsid w:val="006A00D8"/>
    <w:rPr>
      <w:b/>
      <w:i/>
      <w:u w:val="none"/>
    </w:rPr>
  </w:style>
  <w:style w:type="character" w:customStyle="1" w:styleId="Heading2Char">
    <w:name w:val="Heading 2 Char"/>
    <w:basedOn w:val="DefaultParagraphFont"/>
    <w:link w:val="Heading2"/>
    <w:rsid w:val="006A00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00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00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00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00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00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00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00D8"/>
    <w:rPr>
      <w:rFonts w:ascii="Courier New" w:eastAsia="Times New Roman" w:hAnsi="Courier New" w:cs="Times New Roman"/>
      <w:i/>
      <w:szCs w:val="20"/>
      <w:lang w:eastAsia="en-US"/>
    </w:rPr>
  </w:style>
  <w:style w:type="paragraph" w:customStyle="1" w:styleId="HeadingBase">
    <w:name w:val="Heading Base"/>
    <w:rsid w:val="006A00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00D8"/>
    <w:pPr>
      <w:tabs>
        <w:tab w:val="right" w:leader="dot" w:pos="9072"/>
      </w:tabs>
      <w:ind w:left="567"/>
    </w:pPr>
    <w:rPr>
      <w:szCs w:val="22"/>
    </w:rPr>
  </w:style>
  <w:style w:type="paragraph" w:customStyle="1" w:styleId="TOCBase">
    <w:name w:val="TOC Base"/>
    <w:rsid w:val="006A00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00D8"/>
    <w:pPr>
      <w:tabs>
        <w:tab w:val="right" w:leader="dot" w:pos="9072"/>
      </w:tabs>
      <w:spacing w:before="40" w:after="40"/>
      <w:ind w:left="284"/>
    </w:pPr>
    <w:rPr>
      <w:rFonts w:ascii="Times New Roman" w:hAnsi="Times New Roman"/>
    </w:rPr>
  </w:style>
  <w:style w:type="paragraph" w:styleId="TOC1">
    <w:name w:val="toc 1"/>
    <w:basedOn w:val="TOCBase"/>
    <w:next w:val="Normal"/>
    <w:rsid w:val="006A00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00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00D8"/>
    <w:rPr>
      <w:rFonts w:ascii="Times New Roman" w:eastAsia="Times New Roman" w:hAnsi="Times New Roman" w:cs="Times New Roman"/>
      <w:sz w:val="16"/>
      <w:lang w:eastAsia="en-US"/>
    </w:rPr>
  </w:style>
  <w:style w:type="paragraph" w:styleId="Title">
    <w:name w:val="Title"/>
    <w:basedOn w:val="HeadingBase"/>
    <w:link w:val="TitleChar"/>
    <w:qFormat/>
    <w:rsid w:val="006A00D8"/>
    <w:pPr>
      <w:spacing w:before="5040"/>
      <w:jc w:val="center"/>
    </w:pPr>
    <w:rPr>
      <w:sz w:val="48"/>
      <w:szCs w:val="72"/>
      <w:lang w:val="en-US"/>
    </w:rPr>
  </w:style>
  <w:style w:type="character" w:customStyle="1" w:styleId="TitleChar">
    <w:name w:val="Title Char"/>
    <w:basedOn w:val="DefaultParagraphFont"/>
    <w:link w:val="Title"/>
    <w:rsid w:val="006A00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00D8"/>
    <w:pPr>
      <w:tabs>
        <w:tab w:val="left" w:pos="3600"/>
        <w:tab w:val="left" w:pos="3958"/>
      </w:tabs>
    </w:pPr>
  </w:style>
  <w:style w:type="paragraph" w:styleId="List">
    <w:name w:val="List"/>
    <w:basedOn w:val="BodyText"/>
    <w:next w:val="BodyText"/>
    <w:rsid w:val="006A00D8"/>
    <w:pPr>
      <w:tabs>
        <w:tab w:val="left" w:pos="340"/>
      </w:tabs>
      <w:spacing w:before="60" w:after="60"/>
      <w:ind w:left="340" w:hanging="340"/>
    </w:pPr>
  </w:style>
  <w:style w:type="paragraph" w:customStyle="1" w:styleId="Note">
    <w:name w:val="Note"/>
    <w:basedOn w:val="BodyText"/>
    <w:rsid w:val="006A00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00D8"/>
    <w:pPr>
      <w:framePr w:wrap="auto" w:hAnchor="text" w:y="6049"/>
    </w:pPr>
    <w:rPr>
      <w:color w:val="000000"/>
      <w:sz w:val="40"/>
    </w:rPr>
  </w:style>
  <w:style w:type="paragraph" w:customStyle="1" w:styleId="TOCTitle">
    <w:name w:val="TOCTitle"/>
    <w:basedOn w:val="Heading1"/>
    <w:rsid w:val="006A00D8"/>
    <w:pPr>
      <w:spacing w:after="240"/>
      <w:jc w:val="center"/>
      <w:outlineLvl w:val="9"/>
    </w:pPr>
    <w:rPr>
      <w:caps/>
    </w:rPr>
  </w:style>
  <w:style w:type="paragraph" w:customStyle="1" w:styleId="Version">
    <w:name w:val="Version"/>
    <w:rsid w:val="006A00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00D8"/>
    <w:pPr>
      <w:keepNext w:val="0"/>
      <w:tabs>
        <w:tab w:val="right" w:pos="4176"/>
      </w:tabs>
      <w:ind w:left="198" w:hanging="198"/>
    </w:pPr>
    <w:rPr>
      <w:rFonts w:ascii="Garamond" w:hAnsi="Garamond"/>
    </w:rPr>
  </w:style>
  <w:style w:type="paragraph" w:styleId="IndexHeading">
    <w:name w:val="index heading"/>
    <w:basedOn w:val="Normal"/>
    <w:next w:val="Index1"/>
    <w:semiHidden/>
    <w:rsid w:val="006A00D8"/>
    <w:pPr>
      <w:spacing w:before="120" w:after="120"/>
    </w:pPr>
    <w:rPr>
      <w:rFonts w:ascii="Arial" w:hAnsi="Arial"/>
      <w:b/>
      <w:color w:val="918585"/>
      <w:sz w:val="24"/>
    </w:rPr>
  </w:style>
  <w:style w:type="paragraph" w:styleId="Header">
    <w:name w:val="header"/>
    <w:basedOn w:val="Normal"/>
    <w:link w:val="HeaderChar"/>
    <w:rsid w:val="006A00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00D8"/>
    <w:rPr>
      <w:rFonts w:ascii="Times New Roman" w:eastAsia="Times New Roman" w:hAnsi="Times New Roman" w:cs="Times New Roman"/>
      <w:sz w:val="16"/>
      <w:szCs w:val="20"/>
      <w:lang w:val="en-GB" w:eastAsia="en-US"/>
    </w:rPr>
  </w:style>
  <w:style w:type="paragraph" w:customStyle="1" w:styleId="Chapter">
    <w:name w:val="Chapter"/>
    <w:basedOn w:val="Normal"/>
    <w:rsid w:val="006A00D8"/>
    <w:pPr>
      <w:spacing w:before="240"/>
    </w:pPr>
    <w:rPr>
      <w:rFonts w:ascii="Times New Roman" w:hAnsi="Times New Roman"/>
      <w:smallCaps/>
      <w:spacing w:val="80"/>
      <w:sz w:val="28"/>
    </w:rPr>
  </w:style>
  <w:style w:type="paragraph" w:customStyle="1" w:styleId="InChapter">
    <w:name w:val="InChapter"/>
    <w:basedOn w:val="Heading3"/>
    <w:rsid w:val="006A00D8"/>
    <w:pPr>
      <w:spacing w:after="240"/>
      <w:outlineLvl w:val="9"/>
    </w:pPr>
    <w:rPr>
      <w:noProof/>
    </w:rPr>
  </w:style>
  <w:style w:type="paragraph" w:styleId="Index2">
    <w:name w:val="index 2"/>
    <w:basedOn w:val="Normal"/>
    <w:next w:val="Normal"/>
    <w:semiHidden/>
    <w:rsid w:val="006A00D8"/>
    <w:pPr>
      <w:tabs>
        <w:tab w:val="right" w:pos="4176"/>
      </w:tabs>
      <w:ind w:left="568" w:hanging="284"/>
    </w:pPr>
    <w:rPr>
      <w:rFonts w:ascii="Garamond" w:hAnsi="Garamond"/>
    </w:rPr>
  </w:style>
  <w:style w:type="paragraph" w:customStyle="1" w:styleId="Byline">
    <w:name w:val="Byline"/>
    <w:rsid w:val="006A00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00D8"/>
    <w:pPr>
      <w:tabs>
        <w:tab w:val="clear" w:pos="3600"/>
        <w:tab w:val="clear" w:pos="3958"/>
      </w:tabs>
      <w:jc w:val="right"/>
    </w:pPr>
  </w:style>
  <w:style w:type="character" w:styleId="Emphasis">
    <w:name w:val="Emphasis"/>
    <w:basedOn w:val="DefaultParagraphFont"/>
    <w:qFormat/>
    <w:rsid w:val="006A00D8"/>
    <w:rPr>
      <w:i/>
    </w:rPr>
  </w:style>
  <w:style w:type="paragraph" w:styleId="Caption">
    <w:name w:val="caption"/>
    <w:basedOn w:val="BodyText"/>
    <w:next w:val="Normal"/>
    <w:qFormat/>
    <w:rsid w:val="006A00D8"/>
    <w:pPr>
      <w:framePr w:w="2268" w:hSpace="181" w:vSpace="181" w:wrap="around" w:vAnchor="text" w:hAnchor="page" w:x="1135" w:y="285" w:anchorLock="1"/>
    </w:pPr>
    <w:rPr>
      <w:i/>
    </w:rPr>
  </w:style>
  <w:style w:type="paragraph" w:customStyle="1" w:styleId="MiniTOCTitle">
    <w:name w:val="MiniTOCTitle"/>
    <w:basedOn w:val="Heading4"/>
    <w:rsid w:val="006A00D8"/>
    <w:pPr>
      <w:spacing w:before="240"/>
      <w:outlineLvl w:val="9"/>
    </w:pPr>
    <w:rPr>
      <w:noProof/>
      <w:sz w:val="24"/>
    </w:rPr>
  </w:style>
  <w:style w:type="paragraph" w:customStyle="1" w:styleId="MiniTOCItem">
    <w:name w:val="MiniTOCItem"/>
    <w:basedOn w:val="ListBullet"/>
    <w:rsid w:val="006A00D8"/>
    <w:pPr>
      <w:numPr>
        <w:numId w:val="0"/>
      </w:numPr>
      <w:tabs>
        <w:tab w:val="right" w:leader="dot" w:pos="6521"/>
      </w:tabs>
      <w:spacing w:before="0" w:after="0"/>
    </w:pPr>
  </w:style>
  <w:style w:type="paragraph" w:customStyle="1" w:styleId="TOFTitle">
    <w:name w:val="TOFTitle"/>
    <w:basedOn w:val="TOCTitle"/>
    <w:rsid w:val="006A00D8"/>
  </w:style>
  <w:style w:type="paragraph" w:styleId="TableofFigures">
    <w:name w:val="table of figures"/>
    <w:basedOn w:val="Normal"/>
    <w:next w:val="Normal"/>
    <w:semiHidden/>
    <w:rsid w:val="006A00D8"/>
    <w:pPr>
      <w:tabs>
        <w:tab w:val="right" w:leader="dot" w:pos="9072"/>
      </w:tabs>
      <w:ind w:left="970" w:hanging="403"/>
    </w:pPr>
    <w:rPr>
      <w:rFonts w:ascii="Times New Roman" w:hAnsi="Times New Roman"/>
      <w:b/>
    </w:rPr>
  </w:style>
  <w:style w:type="paragraph" w:styleId="ListNumber">
    <w:name w:val="List Number"/>
    <w:basedOn w:val="List"/>
    <w:rsid w:val="006A00D8"/>
    <w:pPr>
      <w:numPr>
        <w:numId w:val="16"/>
      </w:numPr>
      <w:tabs>
        <w:tab w:val="clear" w:pos="340"/>
      </w:tabs>
    </w:pPr>
  </w:style>
  <w:style w:type="character" w:customStyle="1" w:styleId="WingdingSymbols">
    <w:name w:val="Wingding Symbols"/>
    <w:rsid w:val="006A00D8"/>
    <w:rPr>
      <w:rFonts w:ascii="Wingdings" w:hAnsi="Wingdings"/>
    </w:rPr>
  </w:style>
  <w:style w:type="paragraph" w:customStyle="1" w:styleId="TableHeading">
    <w:name w:val="Table Heading"/>
    <w:basedOn w:val="HeadingBase"/>
    <w:rsid w:val="006A00D8"/>
    <w:pPr>
      <w:keepLines/>
      <w:pBdr>
        <w:bottom w:val="single" w:sz="6" w:space="1" w:color="918585"/>
      </w:pBdr>
      <w:spacing w:before="240"/>
    </w:pPr>
  </w:style>
  <w:style w:type="character" w:customStyle="1" w:styleId="HotSpot">
    <w:name w:val="HotSpot"/>
    <w:rsid w:val="006A00D8"/>
    <w:rPr>
      <w:color w:val="0033CC"/>
      <w:u w:val="none"/>
    </w:rPr>
  </w:style>
  <w:style w:type="paragraph" w:customStyle="1" w:styleId="BodyTextRight">
    <w:name w:val="Body Text Right"/>
    <w:basedOn w:val="BodyText"/>
    <w:rsid w:val="006A00D8"/>
    <w:pPr>
      <w:spacing w:before="0" w:after="0"/>
      <w:jc w:val="right"/>
    </w:pPr>
  </w:style>
  <w:style w:type="paragraph" w:styleId="Index3">
    <w:name w:val="index 3"/>
    <w:basedOn w:val="ListNumber2"/>
    <w:next w:val="Normal"/>
    <w:semiHidden/>
    <w:rsid w:val="006A00D8"/>
    <w:pPr>
      <w:numPr>
        <w:numId w:val="0"/>
      </w:numPr>
      <w:tabs>
        <w:tab w:val="right" w:leader="dot" w:pos="4176"/>
      </w:tabs>
    </w:pPr>
  </w:style>
  <w:style w:type="paragraph" w:styleId="ListNumber2">
    <w:name w:val="List Number 2"/>
    <w:basedOn w:val="List2"/>
    <w:rsid w:val="006A00D8"/>
    <w:pPr>
      <w:numPr>
        <w:numId w:val="11"/>
      </w:numPr>
      <w:tabs>
        <w:tab w:val="clear" w:pos="1060"/>
      </w:tabs>
    </w:pPr>
  </w:style>
  <w:style w:type="paragraph" w:customStyle="1" w:styleId="MarginNote">
    <w:name w:val="Margin Note"/>
    <w:basedOn w:val="BodyText"/>
    <w:rsid w:val="006A00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00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00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00D8"/>
    <w:rPr>
      <w:sz w:val="32"/>
    </w:rPr>
  </w:style>
  <w:style w:type="paragraph" w:customStyle="1" w:styleId="HeadingProcedure">
    <w:name w:val="Heading Procedure"/>
    <w:basedOn w:val="HeadingBase"/>
    <w:next w:val="Normal"/>
    <w:rsid w:val="006A00D8"/>
    <w:pPr>
      <w:tabs>
        <w:tab w:val="left" w:pos="0"/>
      </w:tabs>
      <w:spacing w:before="120" w:after="60"/>
    </w:pPr>
    <w:rPr>
      <w:i/>
      <w:color w:val="918585"/>
      <w:sz w:val="22"/>
    </w:rPr>
  </w:style>
  <w:style w:type="paragraph" w:customStyle="1" w:styleId="TableBodyText">
    <w:name w:val="Table Body Text"/>
    <w:basedOn w:val="BodyText"/>
    <w:rsid w:val="006A00D8"/>
    <w:pPr>
      <w:spacing w:before="60" w:after="60"/>
    </w:pPr>
  </w:style>
  <w:style w:type="paragraph" w:styleId="ListContinue">
    <w:name w:val="List Continue"/>
    <w:basedOn w:val="List"/>
    <w:rsid w:val="006A00D8"/>
    <w:pPr>
      <w:ind w:firstLine="0"/>
    </w:pPr>
  </w:style>
  <w:style w:type="paragraph" w:customStyle="1" w:styleId="ListNote">
    <w:name w:val="List Note"/>
    <w:basedOn w:val="List"/>
    <w:rsid w:val="006A00D8"/>
    <w:pPr>
      <w:pBdr>
        <w:top w:val="single" w:sz="6" w:space="2" w:color="918585"/>
        <w:bottom w:val="single" w:sz="6" w:space="2" w:color="918585"/>
      </w:pBdr>
      <w:tabs>
        <w:tab w:val="left" w:pos="1021"/>
      </w:tabs>
      <w:ind w:firstLine="0"/>
    </w:pPr>
  </w:style>
  <w:style w:type="paragraph" w:customStyle="1" w:styleId="Warning">
    <w:name w:val="Warning"/>
    <w:basedOn w:val="BodyText"/>
    <w:rsid w:val="006A00D8"/>
    <w:pPr>
      <w:shd w:val="clear" w:color="auto" w:fill="D9D9D9"/>
      <w:tabs>
        <w:tab w:val="left" w:pos="992"/>
      </w:tabs>
      <w:ind w:left="119" w:right="119"/>
    </w:pPr>
    <w:rPr>
      <w:sz w:val="20"/>
    </w:rPr>
  </w:style>
  <w:style w:type="paragraph" w:customStyle="1" w:styleId="MarginIcons">
    <w:name w:val="Margin Icons"/>
    <w:basedOn w:val="BodyText"/>
    <w:rsid w:val="006A00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00D8"/>
    <w:rPr>
      <w:rFonts w:ascii="Courier New" w:hAnsi="Courier New"/>
    </w:rPr>
  </w:style>
  <w:style w:type="paragraph" w:customStyle="1" w:styleId="NoteBullet">
    <w:name w:val="Note Bullet"/>
    <w:basedOn w:val="Note"/>
    <w:rsid w:val="006A00D8"/>
    <w:pPr>
      <w:tabs>
        <w:tab w:val="clear" w:pos="680"/>
      </w:tabs>
      <w:spacing w:before="60" w:after="60"/>
    </w:pPr>
  </w:style>
  <w:style w:type="paragraph" w:customStyle="1" w:styleId="SubHeading2">
    <w:name w:val="SubHeading2"/>
    <w:basedOn w:val="HeadingBase"/>
    <w:rsid w:val="006A00D8"/>
    <w:pPr>
      <w:spacing w:before="240" w:after="60"/>
    </w:pPr>
    <w:rPr>
      <w:sz w:val="20"/>
    </w:rPr>
  </w:style>
  <w:style w:type="paragraph" w:customStyle="1" w:styleId="SubHeading1">
    <w:name w:val="SubHeading1"/>
    <w:basedOn w:val="HeadingBase"/>
    <w:rsid w:val="006A00D8"/>
    <w:pPr>
      <w:spacing w:before="240" w:after="60"/>
    </w:pPr>
    <w:rPr>
      <w:color w:val="918585"/>
      <w:sz w:val="22"/>
    </w:rPr>
  </w:style>
  <w:style w:type="paragraph" w:customStyle="1" w:styleId="SideHeading">
    <w:name w:val="Side Heading"/>
    <w:basedOn w:val="HeadingBase"/>
    <w:rsid w:val="006A00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00D8"/>
    <w:pPr>
      <w:numPr>
        <w:numId w:val="12"/>
      </w:numPr>
    </w:pPr>
  </w:style>
  <w:style w:type="paragraph" w:styleId="PlainText">
    <w:name w:val="Plain Text"/>
    <w:basedOn w:val="Normal"/>
    <w:link w:val="PlainTextChar"/>
    <w:rsid w:val="006A00D8"/>
    <w:rPr>
      <w:sz w:val="20"/>
    </w:rPr>
  </w:style>
  <w:style w:type="character" w:customStyle="1" w:styleId="PlainTextChar">
    <w:name w:val="Plain Text Char"/>
    <w:basedOn w:val="DefaultParagraphFont"/>
    <w:link w:val="PlainText"/>
    <w:rsid w:val="006A00D8"/>
    <w:rPr>
      <w:rFonts w:ascii="Courier New" w:eastAsia="Times New Roman" w:hAnsi="Courier New" w:cs="Times New Roman"/>
      <w:sz w:val="20"/>
      <w:szCs w:val="20"/>
      <w:lang w:eastAsia="en-US"/>
    </w:rPr>
  </w:style>
  <w:style w:type="character" w:customStyle="1" w:styleId="MenuOption">
    <w:name w:val="Menu Option"/>
    <w:basedOn w:val="DefaultParagraphFont"/>
    <w:rsid w:val="006A00D8"/>
    <w:rPr>
      <w:b/>
      <w:smallCaps/>
    </w:rPr>
  </w:style>
  <w:style w:type="paragraph" w:customStyle="1" w:styleId="TableListNumber">
    <w:name w:val="Table List Number"/>
    <w:basedOn w:val="ListNumber"/>
    <w:rsid w:val="006A00D8"/>
    <w:pPr>
      <w:numPr>
        <w:numId w:val="0"/>
      </w:numPr>
    </w:pPr>
  </w:style>
  <w:style w:type="paragraph" w:styleId="TOC4">
    <w:name w:val="toc 4"/>
    <w:basedOn w:val="TOCBase"/>
    <w:next w:val="Normal"/>
    <w:semiHidden/>
    <w:rsid w:val="006A00D8"/>
    <w:pPr>
      <w:tabs>
        <w:tab w:val="right" w:leader="dot" w:pos="9071"/>
      </w:tabs>
      <w:ind w:left="1701"/>
    </w:pPr>
  </w:style>
  <w:style w:type="paragraph" w:customStyle="1" w:styleId="ListAlpha">
    <w:name w:val="List Alpha"/>
    <w:basedOn w:val="List"/>
    <w:rsid w:val="006A00D8"/>
    <w:pPr>
      <w:numPr>
        <w:numId w:val="10"/>
      </w:numPr>
    </w:pPr>
  </w:style>
  <w:style w:type="paragraph" w:customStyle="1" w:styleId="ListAlpha2">
    <w:name w:val="List Alpha 2"/>
    <w:basedOn w:val="List2"/>
    <w:rsid w:val="006A00D8"/>
    <w:pPr>
      <w:numPr>
        <w:numId w:val="9"/>
      </w:numPr>
    </w:pPr>
  </w:style>
  <w:style w:type="paragraph" w:styleId="List2">
    <w:name w:val="List 2"/>
    <w:basedOn w:val="BodyText"/>
    <w:rsid w:val="006A00D8"/>
    <w:pPr>
      <w:tabs>
        <w:tab w:val="left" w:pos="680"/>
      </w:tabs>
      <w:spacing w:before="60" w:after="60"/>
      <w:ind w:left="680" w:hanging="340"/>
    </w:pPr>
  </w:style>
  <w:style w:type="paragraph" w:styleId="List3">
    <w:name w:val="List 3"/>
    <w:basedOn w:val="BodyText"/>
    <w:rsid w:val="006A00D8"/>
    <w:pPr>
      <w:tabs>
        <w:tab w:val="left" w:pos="1021"/>
      </w:tabs>
      <w:spacing w:before="60" w:after="60"/>
      <w:ind w:left="1020" w:hanging="340"/>
    </w:pPr>
  </w:style>
  <w:style w:type="paragraph" w:styleId="List4">
    <w:name w:val="List 4"/>
    <w:basedOn w:val="BodyText"/>
    <w:rsid w:val="006A00D8"/>
    <w:pPr>
      <w:tabs>
        <w:tab w:val="left" w:pos="1361"/>
      </w:tabs>
      <w:spacing w:before="60" w:after="60"/>
      <w:ind w:left="1361" w:hanging="340"/>
    </w:pPr>
  </w:style>
  <w:style w:type="paragraph" w:styleId="List5">
    <w:name w:val="List 5"/>
    <w:basedOn w:val="BodyText"/>
    <w:rsid w:val="006A00D8"/>
    <w:pPr>
      <w:tabs>
        <w:tab w:val="left" w:pos="1701"/>
      </w:tabs>
      <w:spacing w:before="60" w:after="60"/>
      <w:ind w:left="1701" w:hanging="340"/>
    </w:pPr>
  </w:style>
  <w:style w:type="paragraph" w:styleId="ListBullet4">
    <w:name w:val="List Bullet 4"/>
    <w:basedOn w:val="List4"/>
    <w:rsid w:val="006A00D8"/>
    <w:pPr>
      <w:numPr>
        <w:numId w:val="4"/>
      </w:numPr>
      <w:tabs>
        <w:tab w:val="clear" w:pos="1361"/>
      </w:tabs>
    </w:pPr>
  </w:style>
  <w:style w:type="paragraph" w:styleId="ListBullet5">
    <w:name w:val="List Bullet 5"/>
    <w:basedOn w:val="List5"/>
    <w:rsid w:val="006A00D8"/>
    <w:pPr>
      <w:numPr>
        <w:numId w:val="5"/>
      </w:numPr>
    </w:pPr>
  </w:style>
  <w:style w:type="paragraph" w:styleId="ListContinue2">
    <w:name w:val="List Continue 2"/>
    <w:basedOn w:val="List2"/>
    <w:rsid w:val="006A00D8"/>
    <w:pPr>
      <w:ind w:firstLine="0"/>
    </w:pPr>
  </w:style>
  <w:style w:type="paragraph" w:styleId="ListContinue3">
    <w:name w:val="List Continue 3"/>
    <w:basedOn w:val="List3"/>
    <w:rsid w:val="006A00D8"/>
    <w:pPr>
      <w:ind w:left="1021" w:firstLine="0"/>
    </w:pPr>
  </w:style>
  <w:style w:type="paragraph" w:styleId="ListContinue4">
    <w:name w:val="List Continue 4"/>
    <w:basedOn w:val="List4"/>
    <w:rsid w:val="006A00D8"/>
    <w:pPr>
      <w:ind w:firstLine="0"/>
    </w:pPr>
  </w:style>
  <w:style w:type="paragraph" w:styleId="ListContinue5">
    <w:name w:val="List Continue 5"/>
    <w:basedOn w:val="List5"/>
    <w:rsid w:val="006A00D8"/>
    <w:pPr>
      <w:ind w:firstLine="0"/>
    </w:pPr>
  </w:style>
  <w:style w:type="paragraph" w:styleId="ListNumber3">
    <w:name w:val="List Number 3"/>
    <w:basedOn w:val="List3"/>
    <w:rsid w:val="006A00D8"/>
    <w:pPr>
      <w:numPr>
        <w:numId w:val="6"/>
      </w:numPr>
    </w:pPr>
  </w:style>
  <w:style w:type="paragraph" w:styleId="ListNumber4">
    <w:name w:val="List Number 4"/>
    <w:basedOn w:val="List4"/>
    <w:rsid w:val="006A00D8"/>
    <w:pPr>
      <w:numPr>
        <w:numId w:val="7"/>
      </w:numPr>
    </w:pPr>
  </w:style>
  <w:style w:type="paragraph" w:styleId="ListNumber5">
    <w:name w:val="List Number 5"/>
    <w:basedOn w:val="List5"/>
    <w:rsid w:val="006A00D8"/>
    <w:pPr>
      <w:numPr>
        <w:numId w:val="8"/>
      </w:numPr>
    </w:pPr>
  </w:style>
  <w:style w:type="paragraph" w:styleId="BlockText">
    <w:name w:val="Block Text"/>
    <w:basedOn w:val="Normal"/>
    <w:rsid w:val="006A00D8"/>
    <w:pPr>
      <w:spacing w:after="120"/>
      <w:ind w:left="1440" w:right="1440"/>
    </w:pPr>
  </w:style>
  <w:style w:type="character" w:customStyle="1" w:styleId="Subscript">
    <w:name w:val="Subscript"/>
    <w:basedOn w:val="DefaultParagraphFont"/>
    <w:rsid w:val="006A00D8"/>
    <w:rPr>
      <w:sz w:val="16"/>
      <w:vertAlign w:val="subscript"/>
    </w:rPr>
  </w:style>
  <w:style w:type="character" w:customStyle="1" w:styleId="Superscript">
    <w:name w:val="Superscript"/>
    <w:basedOn w:val="DefaultParagraphFont"/>
    <w:rsid w:val="006A00D8"/>
    <w:rPr>
      <w:sz w:val="16"/>
      <w:vertAlign w:val="superscript"/>
    </w:rPr>
  </w:style>
  <w:style w:type="character" w:customStyle="1" w:styleId="Symbols">
    <w:name w:val="Symbols"/>
    <w:basedOn w:val="DefaultParagraphFont"/>
    <w:rsid w:val="006A00D8"/>
    <w:rPr>
      <w:rFonts w:ascii="Symbol" w:hAnsi="Symbol"/>
    </w:rPr>
  </w:style>
  <w:style w:type="character" w:customStyle="1" w:styleId="MenuOptions">
    <w:name w:val="Menu Options"/>
    <w:basedOn w:val="DefaultParagraphFont"/>
    <w:rsid w:val="006A00D8"/>
    <w:rPr>
      <w:rFonts w:ascii="Arial Narrow" w:hAnsi="Arial Narrow"/>
      <w:smallCaps/>
    </w:rPr>
  </w:style>
  <w:style w:type="character" w:customStyle="1" w:styleId="Buttons">
    <w:name w:val="Buttons"/>
    <w:basedOn w:val="DefaultParagraphFont"/>
    <w:rsid w:val="006A00D8"/>
    <w:rPr>
      <w:b/>
    </w:rPr>
  </w:style>
  <w:style w:type="character" w:customStyle="1" w:styleId="Underlined">
    <w:name w:val="Underlined"/>
    <w:basedOn w:val="DefaultParagraphFont"/>
    <w:rsid w:val="006A00D8"/>
    <w:rPr>
      <w:u w:val="single"/>
    </w:rPr>
  </w:style>
  <w:style w:type="paragraph" w:customStyle="1" w:styleId="TableBodyTextRight">
    <w:name w:val="Table Body Text Right"/>
    <w:basedOn w:val="TableBodyText"/>
    <w:rsid w:val="006A00D8"/>
    <w:pPr>
      <w:widowControl w:val="0"/>
      <w:autoSpaceDE w:val="0"/>
      <w:autoSpaceDN w:val="0"/>
      <w:adjustRightInd w:val="0"/>
      <w:jc w:val="right"/>
    </w:pPr>
    <w:rPr>
      <w:rFonts w:cs="Arial"/>
      <w:szCs w:val="18"/>
    </w:rPr>
  </w:style>
  <w:style w:type="paragraph" w:customStyle="1" w:styleId="CopyrightText">
    <w:name w:val="Copyright Text"/>
    <w:basedOn w:val="BodyText"/>
    <w:rsid w:val="006A00D8"/>
    <w:rPr>
      <w:sz w:val="18"/>
    </w:rPr>
  </w:style>
  <w:style w:type="paragraph" w:customStyle="1" w:styleId="BodySmallRight">
    <w:name w:val="Body Small Right"/>
    <w:basedOn w:val="BodyTextRight"/>
    <w:rsid w:val="006A00D8"/>
    <w:rPr>
      <w:sz w:val="18"/>
      <w:szCs w:val="18"/>
    </w:rPr>
  </w:style>
  <w:style w:type="paragraph" w:customStyle="1" w:styleId="MarginEdition">
    <w:name w:val="Margin Edition"/>
    <w:basedOn w:val="MarginNote"/>
    <w:rsid w:val="006A00D8"/>
    <w:pPr>
      <w:spacing w:before="0" w:after="0"/>
    </w:pPr>
    <w:rPr>
      <w:rFonts w:ascii="Times New Roman" w:hAnsi="Times New Roman"/>
      <w:color w:val="999999"/>
    </w:rPr>
  </w:style>
  <w:style w:type="paragraph" w:customStyle="1" w:styleId="Spacer">
    <w:name w:val="Spacer"/>
    <w:basedOn w:val="Normal"/>
    <w:rsid w:val="006A00D8"/>
    <w:rPr>
      <w:sz w:val="2"/>
      <w:szCs w:val="2"/>
    </w:rPr>
  </w:style>
  <w:style w:type="character" w:customStyle="1" w:styleId="Small">
    <w:name w:val="Small"/>
    <w:basedOn w:val="DefaultParagraphFont"/>
    <w:rsid w:val="006A00D8"/>
    <w:rPr>
      <w:sz w:val="16"/>
    </w:rPr>
  </w:style>
  <w:style w:type="paragraph" w:customStyle="1" w:styleId="WideTable">
    <w:name w:val="Wide Table"/>
    <w:basedOn w:val="Normal"/>
    <w:rsid w:val="006A00D8"/>
    <w:pPr>
      <w:ind w:left="-1418"/>
    </w:pPr>
    <w:rPr>
      <w:sz w:val="2"/>
      <w:szCs w:val="2"/>
    </w:rPr>
  </w:style>
  <w:style w:type="character" w:styleId="PageNumber">
    <w:name w:val="page number"/>
    <w:basedOn w:val="DefaultParagraphFont"/>
    <w:rsid w:val="006A00D8"/>
  </w:style>
  <w:style w:type="paragraph" w:styleId="Quote">
    <w:name w:val="Quote"/>
    <w:basedOn w:val="Heading1"/>
    <w:link w:val="QuoteChar"/>
    <w:qFormat/>
    <w:rsid w:val="006A00D8"/>
    <w:rPr>
      <w:b w:val="0"/>
      <w:sz w:val="72"/>
      <w:szCs w:val="72"/>
      <w:lang w:val="en-NZ"/>
    </w:rPr>
  </w:style>
  <w:style w:type="character" w:customStyle="1" w:styleId="QuoteChar">
    <w:name w:val="Quote Char"/>
    <w:basedOn w:val="DefaultParagraphFont"/>
    <w:link w:val="Quote"/>
    <w:rsid w:val="006A00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00D8"/>
    <w:pPr>
      <w:pageBreakBefore/>
    </w:pPr>
  </w:style>
  <w:style w:type="paragraph" w:customStyle="1" w:styleId="Border">
    <w:name w:val="Border"/>
    <w:basedOn w:val="Normal"/>
    <w:qFormat/>
    <w:rsid w:val="006A00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00D8"/>
    <w:rPr>
      <w:b/>
      <w:bCs/>
      <w:i/>
      <w:iCs/>
      <w:color w:val="auto"/>
    </w:rPr>
  </w:style>
  <w:style w:type="paragraph" w:styleId="IntenseQuote">
    <w:name w:val="Intense Quote"/>
    <w:basedOn w:val="Normal"/>
    <w:next w:val="Normal"/>
    <w:link w:val="IntenseQuoteChar"/>
    <w:uiPriority w:val="30"/>
    <w:qFormat/>
    <w:rsid w:val="006A00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00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00D8"/>
    <w:rPr>
      <w:smallCaps/>
      <w:color w:val="auto"/>
      <w:u w:val="single"/>
    </w:rPr>
  </w:style>
  <w:style w:type="character" w:styleId="IntenseReference">
    <w:name w:val="Intense Reference"/>
    <w:basedOn w:val="DefaultParagraphFont"/>
    <w:uiPriority w:val="32"/>
    <w:qFormat/>
    <w:rsid w:val="006A00D8"/>
    <w:rPr>
      <w:b/>
      <w:bCs/>
      <w:smallCaps/>
      <w:color w:val="auto"/>
      <w:spacing w:val="5"/>
      <w:u w:val="single"/>
    </w:rPr>
  </w:style>
  <w:style w:type="paragraph" w:customStyle="1" w:styleId="2ColumnHeading">
    <w:name w:val="2Column Heading"/>
    <w:basedOn w:val="BodyText"/>
    <w:qFormat/>
    <w:rsid w:val="006A00D8"/>
    <w:pPr>
      <w:spacing w:after="60"/>
      <w:ind w:left="-2268"/>
    </w:pPr>
    <w:rPr>
      <w:b/>
    </w:rPr>
  </w:style>
  <w:style w:type="paragraph" w:customStyle="1" w:styleId="Heading1TOC">
    <w:name w:val="Heading1 TOC"/>
    <w:basedOn w:val="Normal"/>
    <w:qFormat/>
    <w:rsid w:val="006A00D8"/>
    <w:pPr>
      <w:spacing w:before="240" w:after="120"/>
    </w:pPr>
    <w:rPr>
      <w:rFonts w:ascii="Times New Roman" w:hAnsi="Times New Roman"/>
      <w:b/>
      <w:sz w:val="32"/>
    </w:rPr>
  </w:style>
  <w:style w:type="paragraph" w:customStyle="1" w:styleId="Heading2TOC">
    <w:name w:val="Heading2 TOC"/>
    <w:basedOn w:val="Normal"/>
    <w:qFormat/>
    <w:rsid w:val="006A00D8"/>
    <w:pPr>
      <w:spacing w:before="240" w:after="60"/>
    </w:pPr>
    <w:rPr>
      <w:rFonts w:ascii="Times New Roman" w:hAnsi="Times New Roman"/>
      <w:b/>
      <w:sz w:val="28"/>
    </w:rPr>
  </w:style>
  <w:style w:type="character" w:customStyle="1" w:styleId="Underline">
    <w:name w:val="Underline"/>
    <w:basedOn w:val="DefaultParagraphFont"/>
    <w:qFormat/>
    <w:rsid w:val="006A00D8"/>
    <w:rPr>
      <w:u w:val="single"/>
    </w:rPr>
  </w:style>
  <w:style w:type="paragraph" w:styleId="BalloonText">
    <w:name w:val="Balloon Text"/>
    <w:basedOn w:val="Normal"/>
    <w:link w:val="BalloonTextChar"/>
    <w:rsid w:val="006A00D8"/>
    <w:rPr>
      <w:rFonts w:ascii="Tahoma" w:hAnsi="Tahoma" w:cs="Tahoma"/>
      <w:sz w:val="16"/>
      <w:szCs w:val="16"/>
    </w:rPr>
  </w:style>
  <w:style w:type="character" w:customStyle="1" w:styleId="BalloonTextChar">
    <w:name w:val="Balloon Text Char"/>
    <w:basedOn w:val="DefaultParagraphFont"/>
    <w:link w:val="BalloonText"/>
    <w:rsid w:val="006A00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00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00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00D8"/>
    <w:rPr>
      <w:b/>
      <w:color w:val="660033"/>
      <w:spacing w:val="0"/>
    </w:rPr>
  </w:style>
  <w:style w:type="paragraph" w:customStyle="1" w:styleId="Nameditemlist">
    <w:name w:val="Named item list"/>
    <w:basedOn w:val="BodyText"/>
    <w:qFormat/>
    <w:rsid w:val="006A00D8"/>
    <w:pPr>
      <w:tabs>
        <w:tab w:val="left" w:pos="2835"/>
      </w:tabs>
      <w:ind w:left="2835" w:hanging="2835"/>
    </w:pPr>
  </w:style>
  <w:style w:type="paragraph" w:customStyle="1" w:styleId="BodyTextnopadding">
    <w:name w:val="Body Text no padding"/>
    <w:basedOn w:val="BodyText"/>
    <w:qFormat/>
    <w:rsid w:val="006A00D8"/>
    <w:pPr>
      <w:spacing w:before="0" w:after="0"/>
    </w:pPr>
  </w:style>
  <w:style w:type="paragraph" w:customStyle="1" w:styleId="BodyTextBold">
    <w:name w:val="Body Text Bold"/>
    <w:basedOn w:val="BodyText"/>
    <w:qFormat/>
    <w:rsid w:val="006A00D8"/>
    <w:rPr>
      <w:b/>
    </w:rPr>
  </w:style>
  <w:style w:type="character" w:styleId="Hyperlink">
    <w:name w:val="Hyperlink"/>
    <w:basedOn w:val="DefaultParagraphFont"/>
    <w:uiPriority w:val="99"/>
    <w:unhideWhenUsed/>
    <w:rsid w:val="00A12D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1132</Words>
  <Characters>7427</Characters>
  <Application>Microsoft Office Word</Application>
  <DocSecurity>0</DocSecurity>
  <Lines>285</Lines>
  <Paragraphs>135</Paragraphs>
  <ScaleCrop>false</ScaleCrop>
  <Company>Author-it Software Corporation Ltd.</Company>
  <LinksUpToDate>false</LinksUpToDate>
  <CharactersWithSpaces>8424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CPCCBS6017 Monitor and advise on construction and compliance upgrade work on buildings up to three storeys</dc:title>
  <dc:subject>Approved</dc:subject>
  <dc:creator>Artibus Innovation</dc:creator>
  <cp:keywords>Release: 2</cp:keywords>
  <dc:description>Review Date: 12 April 2008</dc:description>
  <cp:lastModifiedBy>HSD_TPCMSd.prod</cp:lastModifiedBy>
  <cp:revision>3</cp:revision>
  <dcterms:created xsi:type="dcterms:W3CDTF">2020-12-23T10:53:00Z</dcterms:created>
  <dcterms:modified xsi:type="dcterms:W3CDTF">2020-12-23T10:53:00Z</dcterms:modified>
</cp:coreProperties>
</file>