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0CAA" w:rsidP="00ED0CAA">
      <w:pPr>
        <w:pStyle w:val="Title"/>
      </w:pPr>
      <w:r>
        <w:fldChar w:fldCharType="begin"/>
      </w:r>
      <w:r>
        <w:instrText xml:space="preserve"> TITLE   \* MERGEFORMAT </w:instrText>
      </w:r>
      <w:r>
        <w:fldChar w:fldCharType="separate"/>
      </w:r>
      <w:r>
        <w:t>CPCCBS6014 Conduct and report on advanced and final inspections of residential buildings up to three storeys</w:t>
      </w:r>
      <w:r>
        <w:fldChar w:fldCharType="end"/>
      </w:r>
    </w:p>
    <w:p w:rsidR="00ED0CAA" w:rsidP="00ED0CAA">
      <w:pPr>
        <w:pStyle w:val="Version"/>
        <w:sectPr w:rsidSect="00F50A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0AC5" w:rsidP="00F50AC5">
      <w:pPr>
        <w:pStyle w:val="SuperHeading"/>
      </w:pPr>
      <w:r w:rsidRPr="00F50AC5">
        <w:t>CPCCBS6014 Conduct and report on advanced and final inspections of residential buildings up to three storeys</w:t>
      </w:r>
    </w:p>
    <w:p w:rsidR="00000000" w:rsidRPr="00F50AC5" w:rsidP="00F50AC5">
      <w:pPr>
        <w:pStyle w:val="Heading1"/>
      </w:pPr>
      <w:bookmarkStart w:id="1" w:name="O_734134"/>
      <w:bookmarkEnd w:id="1"/>
      <w:r w:rsidRPr="00F50AC5">
        <w:t>Modification History</w:t>
      </w:r>
    </w:p>
    <w:p w:rsidR="00000000" w:rsidRPr="00F50AC5" w:rsidP="00ED0CAA">
      <w:pPr>
        <w:pStyle w:val="BodyText"/>
      </w:pPr>
      <w:r w:rsidRPr="00F50AC5">
        <w:t xml:space="preserve">Release 1. </w:t>
      </w:r>
    </w:p>
    <w:p w:rsidR="00000000" w:rsidRPr="00F50AC5" w:rsidP="00ED0CAA">
      <w:pPr>
        <w:pStyle w:val="BodyText"/>
      </w:pPr>
      <w:r w:rsidRPr="00F50AC5">
        <w:t>This version first released with CPC Construction, Plumbing and Services Training Package Version 1.</w:t>
      </w:r>
    </w:p>
    <w:p w:rsidR="00000000" w:rsidRPr="00F50AC5" w:rsidP="00F50AC5">
      <w:pPr>
        <w:pStyle w:val="Heading1"/>
      </w:pPr>
      <w:bookmarkStart w:id="2" w:name="O_734142"/>
      <w:bookmarkEnd w:id="2"/>
      <w:r w:rsidRPr="00F50AC5">
        <w:t>Application</w:t>
      </w:r>
    </w:p>
    <w:p w:rsidR="00000000" w:rsidRPr="00F50AC5" w:rsidP="00ED0CAA">
      <w:pPr>
        <w:pStyle w:val="BodyText"/>
      </w:pPr>
      <w:r w:rsidRPr="00F50AC5">
        <w:t>This unit of competency specifies the outcomes required to conduct advanced and final inspections that occur after constructin</w:t>
      </w:r>
      <w:r w:rsidRPr="00F50AC5">
        <w:t xml:space="preserve">g the structural elements of class 1 and 10 buildings and structures. These class 1 and 10 buildings and structures are as defined in the Building Code of Australia (BCA) and are up to three storeys and not more than 2000 square metres in floor area. </w:t>
      </w:r>
    </w:p>
    <w:p w:rsidR="00000000" w:rsidRPr="00F50AC5" w:rsidP="00ED0CAA">
      <w:pPr>
        <w:pStyle w:val="BodyText"/>
      </w:pPr>
      <w:r w:rsidRPr="00F50AC5">
        <w:t>The</w:t>
      </w:r>
      <w:r w:rsidRPr="00F50AC5">
        <w:t xml:space="preserve"> unit supports the work of private or municipal building surveyors or certifiers who conduct mandated inspections of class 1 and 10 buildings and structures at the advanced and final stages of construction. Inspections include those specified in the buildi</w:t>
      </w:r>
      <w:r w:rsidRPr="00F50AC5">
        <w:t xml:space="preserve">ng approval documentation for the project, including the final inspection required prior to the issuing of occupancy permission. </w:t>
      </w:r>
    </w:p>
    <w:p w:rsidR="00000000" w:rsidRPr="00F50AC5" w:rsidP="00ED0CAA">
      <w:pPr>
        <w:pStyle w:val="BodyText"/>
      </w:pPr>
      <w:r w:rsidRPr="00F50AC5">
        <w:t>It applies to planning and conducting inspections, reporting on issues of non-compliance, preparing certificates of complianc</w:t>
      </w:r>
      <w:r w:rsidRPr="00F50AC5">
        <w:t xml:space="preserve">e, and issuing occupancy permissions according to legislative and regulatory requirements. </w:t>
      </w:r>
    </w:p>
    <w:p w:rsidR="00000000" w:rsidRPr="00F50AC5" w:rsidP="00ED0CAA">
      <w:pPr>
        <w:pStyle w:val="BodyText"/>
      </w:pPr>
      <w:r w:rsidRPr="00F50AC5">
        <w:t>The building surveyor or certifier must be satisfied that remedial work required in cases of non-compliance is understood by the building contractor and is complet</w:t>
      </w:r>
      <w:r w:rsidRPr="00F50AC5">
        <w:t xml:space="preserve">ed within required timeframes. This involves developing and maintaining professional and cooperative relationships with building contractors throughout a highly regulated process. </w:t>
      </w:r>
    </w:p>
    <w:p w:rsidR="00000000" w:rsidRPr="00F50AC5" w:rsidP="00ED0CAA">
      <w:pPr>
        <w:pStyle w:val="BodyText"/>
      </w:pPr>
      <w:r w:rsidRPr="00F50AC5">
        <w:t xml:space="preserve">Licensing, legislative, regulatory or certification requirements apply to </w:t>
      </w:r>
      <w:r w:rsidRPr="00F50AC5">
        <w:t>this unit in some States. Relevant state and territory regulatory authorities should be consulted to confirm those requirements.</w:t>
      </w:r>
    </w:p>
    <w:p w:rsidR="00000000" w:rsidRPr="00F50AC5" w:rsidP="00F50AC5">
      <w:pPr>
        <w:pStyle w:val="Heading1"/>
      </w:pPr>
      <w:bookmarkStart w:id="3" w:name="O_734141"/>
      <w:bookmarkEnd w:id="3"/>
      <w:r w:rsidRPr="00F50AC5">
        <w:t>Pre-requisite Unit</w:t>
      </w:r>
    </w:p>
    <w:p w:rsidR="00000000" w:rsidRPr="00F50AC5" w:rsidP="00ED0CAA">
      <w:pPr>
        <w:pStyle w:val="BodyText"/>
      </w:pPr>
      <w:r w:rsidRPr="00F50AC5">
        <w:t>Nil</w:t>
      </w:r>
    </w:p>
    <w:p w:rsidR="00000000" w:rsidRPr="00F50AC5" w:rsidP="00F50AC5">
      <w:pPr>
        <w:pStyle w:val="Heading1"/>
      </w:pPr>
      <w:bookmarkStart w:id="4" w:name="O_734140"/>
      <w:bookmarkEnd w:id="4"/>
      <w:r w:rsidRPr="00F50AC5">
        <w:t>Competency Field</w:t>
      </w:r>
    </w:p>
    <w:p w:rsidR="00000000" w:rsidRPr="00F50AC5" w:rsidP="00ED0CAA">
      <w:pPr>
        <w:pStyle w:val="BodyText"/>
      </w:pPr>
      <w:r w:rsidRPr="00F50AC5">
        <w:t>Building surveying</w:t>
      </w:r>
    </w:p>
    <w:p w:rsidR="00000000" w:rsidRPr="00F50AC5" w:rsidP="00F50AC5">
      <w:pPr>
        <w:pStyle w:val="Heading1"/>
      </w:pPr>
      <w:bookmarkStart w:id="5" w:name="O_734139"/>
      <w:bookmarkEnd w:id="5"/>
      <w:r w:rsidRPr="00F50AC5">
        <w:t>Unit Sector</w:t>
      </w:r>
    </w:p>
    <w:p w:rsidR="00000000" w:rsidRPr="00F50AC5" w:rsidP="00ED0CAA">
      <w:pPr>
        <w:pStyle w:val="BodyText"/>
      </w:pPr>
      <w:r w:rsidRPr="00F50AC5">
        <w:t>Const</w:t>
      </w:r>
      <w:r w:rsidRPr="00F50AC5">
        <w:t>ruction</w:t>
      </w:r>
    </w:p>
    <w:p w:rsidR="00000000" w:rsidRPr="00F50AC5" w:rsidP="00F50AC5">
      <w:pPr>
        <w:pStyle w:val="Heading1"/>
      </w:pPr>
      <w:bookmarkStart w:id="6" w:name="O_734138"/>
      <w:bookmarkEnd w:id="6"/>
      <w:r w:rsidRPr="00F50AC5">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F50AC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50AC5">
            <w:pPr>
              <w:pStyle w:val="BodyText"/>
              <w:rPr>
                <w:lang w:val="en-NZ"/>
              </w:rPr>
            </w:pPr>
            <w:r w:rsidRPr="00F50AC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50AC5">
            <w:pPr>
              <w:pStyle w:val="BodyText"/>
              <w:rPr>
                <w:lang w:val="en-NZ"/>
              </w:rPr>
            </w:pPr>
            <w:r w:rsidRPr="00F50AC5">
              <w:t xml:space="preserve">Performance criteria describe the performance needed to demonstrate achievement of the element. Where bold italicised text is used, further </w:t>
            </w:r>
            <w:r w:rsidRPr="00F50AC5">
              <w:t>information is detailed in the range of conditions.</w:t>
            </w:r>
          </w:p>
        </w:tc>
      </w:tr>
      <w:tr w:rsidTr="00F50AC5">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F50AC5">
            <w:pPr>
              <w:pStyle w:val="BodyText"/>
              <w:rPr>
                <w:lang w:val="en-NZ"/>
              </w:rPr>
            </w:pPr>
            <w:r w:rsidRPr="00F50AC5">
              <w:t>1.</w:t>
            </w:r>
          </w:p>
        </w:tc>
        <w:tc>
          <w:tcPr>
            <w:tcW w:w="2100" w:type="dxa"/>
            <w:vMerge w:val="restart"/>
            <w:tcBorders>
              <w:top w:val="nil"/>
              <w:left w:val="nil"/>
              <w:bottom w:val="nil"/>
              <w:right w:val="nil"/>
            </w:tcBorders>
            <w:tcMar>
              <w:top w:w="0" w:type="dxa"/>
              <w:left w:w="62" w:type="dxa"/>
              <w:bottom w:w="0" w:type="dxa"/>
              <w:right w:w="62" w:type="dxa"/>
            </w:tcMar>
          </w:tcPr>
          <w:p w:rsidR="00000000" w:rsidP="00F50AC5">
            <w:pPr>
              <w:pStyle w:val="BodyText"/>
              <w:rPr>
                <w:lang w:val="en-NZ"/>
              </w:rPr>
            </w:pPr>
            <w:r w:rsidRPr="00F50AC5">
              <w:t>Interpret project compliance requirements.</w:t>
            </w:r>
          </w:p>
        </w:tc>
        <w:tc>
          <w:tcPr>
            <w:tcW w:w="770" w:type="dxa"/>
            <w:tcBorders>
              <w:top w:val="nil"/>
              <w:left w:val="nil"/>
              <w:bottom w:val="nil"/>
              <w:right w:val="nil"/>
            </w:tcBorders>
            <w:tcMar>
              <w:top w:w="0" w:type="dxa"/>
              <w:left w:w="62" w:type="dxa"/>
              <w:bottom w:w="0" w:type="dxa"/>
              <w:right w:w="62" w:type="dxa"/>
            </w:tcMar>
          </w:tcPr>
          <w:p w:rsidR="00000000" w:rsidP="00F50AC5">
            <w:pPr>
              <w:pStyle w:val="BodyText"/>
              <w:rPr>
                <w:lang w:val="en-NZ"/>
              </w:rPr>
            </w:pPr>
            <w:r w:rsidRPr="00F50AC5">
              <w:t>1.1.</w:t>
            </w:r>
          </w:p>
        </w:tc>
        <w:tc>
          <w:tcPr>
            <w:tcW w:w="5610" w:type="dxa"/>
            <w:tcBorders>
              <w:top w:val="nil"/>
              <w:left w:val="nil"/>
              <w:bottom w:val="nil"/>
              <w:right w:val="nil"/>
            </w:tcBorders>
            <w:tcMar>
              <w:top w:w="0" w:type="dxa"/>
              <w:left w:w="62" w:type="dxa"/>
              <w:bottom w:w="0" w:type="dxa"/>
              <w:right w:w="62" w:type="dxa"/>
            </w:tcMar>
          </w:tcPr>
          <w:p w:rsidR="00000000" w:rsidP="00F50AC5">
            <w:pPr>
              <w:pStyle w:val="BodyText"/>
              <w:rPr>
                <w:lang w:val="en-NZ"/>
              </w:rPr>
            </w:pPr>
            <w:r w:rsidRPr="00F50AC5">
              <w:t>Design wind speed for the location is determined.</w:t>
            </w:r>
          </w:p>
        </w:tc>
      </w:tr>
      <w:tr w:rsidTr="00F50AC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0AC5">
            <w:pPr>
              <w:pStyle w:val="BodyText"/>
              <w:rPr>
                <w:lang w:val="en-NZ"/>
              </w:rPr>
            </w:pPr>
            <w:r w:rsidRPr="00F50AC5">
              <w:t>1.2.</w:t>
            </w:r>
          </w:p>
        </w:tc>
        <w:tc>
          <w:tcPr>
            <w:tcW w:w="5610" w:type="dxa"/>
            <w:tcBorders>
              <w:top w:val="nil"/>
              <w:left w:val="nil"/>
              <w:bottom w:val="nil"/>
              <w:right w:val="nil"/>
            </w:tcBorders>
            <w:tcMar>
              <w:top w:w="0" w:type="dxa"/>
              <w:left w:w="62" w:type="dxa"/>
              <w:bottom w:w="0" w:type="dxa"/>
              <w:right w:w="62" w:type="dxa"/>
            </w:tcMar>
          </w:tcPr>
          <w:p w:rsidR="00000000" w:rsidP="00F50AC5">
            <w:pPr>
              <w:pStyle w:val="BodyText"/>
              <w:rPr>
                <w:lang w:val="en-NZ"/>
              </w:rPr>
            </w:pPr>
            <w:r w:rsidRPr="00F50AC5">
              <w:t>Approved building design drawings and specifications are interpreted and variations from deem</w:t>
            </w:r>
            <w:r w:rsidRPr="00F50AC5">
              <w:t>ed-to-satisfy provisions for compliance are confirmed with senior personnel or statutory authority.</w:t>
            </w:r>
          </w:p>
        </w:tc>
      </w:tr>
      <w:tr w:rsidTr="00F50AC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50AC5" w:rsidP="00F50AC5">
            <w:pPr>
              <w:pStyle w:val="BodyText"/>
            </w:pPr>
            <w:r w:rsidRPr="00F50AC5">
              <w:t>1.3.</w:t>
            </w:r>
          </w:p>
        </w:tc>
        <w:tc>
          <w:tcPr>
            <w:tcW w:w="5610" w:type="dxa"/>
            <w:tcBorders>
              <w:top w:val="nil"/>
              <w:left w:val="nil"/>
              <w:bottom w:val="nil"/>
              <w:right w:val="nil"/>
            </w:tcBorders>
            <w:tcMar>
              <w:top w:w="0" w:type="dxa"/>
              <w:left w:w="62" w:type="dxa"/>
              <w:bottom w:w="0" w:type="dxa"/>
              <w:right w:w="62" w:type="dxa"/>
            </w:tcMar>
          </w:tcPr>
          <w:p w:rsidR="00000000" w:rsidP="00F50AC5">
            <w:pPr>
              <w:pStyle w:val="BodyText"/>
              <w:rPr>
                <w:lang w:val="en-NZ"/>
              </w:rPr>
            </w:pPr>
            <w:r w:rsidRPr="00F50AC5">
              <w:rPr>
                <w:rStyle w:val="BoldandItalics"/>
              </w:rPr>
              <w:t>Compliance requirements for roof and wall cladding</w:t>
            </w:r>
            <w:r w:rsidRPr="00F50AC5">
              <w:t xml:space="preserve"> are identified and interpreted.</w:t>
            </w:r>
          </w:p>
        </w:tc>
      </w:tr>
      <w:tr w:rsidTr="00F50AC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50AC5" w:rsidP="00F50AC5">
            <w:pPr>
              <w:pStyle w:val="BodyText"/>
            </w:pPr>
            <w:r w:rsidRPr="00F50AC5">
              <w:t>1.4.</w:t>
            </w:r>
          </w:p>
        </w:tc>
        <w:tc>
          <w:tcPr>
            <w:tcW w:w="5610" w:type="dxa"/>
            <w:tcBorders>
              <w:top w:val="nil"/>
              <w:left w:val="nil"/>
              <w:bottom w:val="nil"/>
              <w:right w:val="nil"/>
            </w:tcBorders>
            <w:tcMar>
              <w:top w:w="0" w:type="dxa"/>
              <w:left w:w="62" w:type="dxa"/>
              <w:bottom w:w="0" w:type="dxa"/>
              <w:right w:w="62" w:type="dxa"/>
            </w:tcMar>
          </w:tcPr>
          <w:p w:rsidR="00000000" w:rsidP="00F50AC5">
            <w:pPr>
              <w:pStyle w:val="BodyText"/>
              <w:rPr>
                <w:lang w:val="en-NZ"/>
              </w:rPr>
            </w:pPr>
            <w:r w:rsidRPr="00F50AC5">
              <w:rPr>
                <w:rStyle w:val="BoldandItalics"/>
              </w:rPr>
              <w:t>Compliance requirements for glazing</w:t>
            </w:r>
            <w:r w:rsidRPr="00F50AC5">
              <w:t xml:space="preserve"> are identified and </w:t>
            </w:r>
            <w:r w:rsidRPr="00F50AC5">
              <w:t>interpreted.</w:t>
            </w:r>
          </w:p>
        </w:tc>
      </w:tr>
      <w:tr w:rsidTr="00F50AC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50AC5" w:rsidP="00F50AC5">
            <w:pPr>
              <w:pStyle w:val="BodyText"/>
            </w:pPr>
            <w:r w:rsidRPr="00F50AC5">
              <w:t>1.5.</w:t>
            </w:r>
          </w:p>
        </w:tc>
        <w:tc>
          <w:tcPr>
            <w:tcW w:w="5610" w:type="dxa"/>
            <w:tcBorders>
              <w:top w:val="nil"/>
              <w:left w:val="nil"/>
              <w:bottom w:val="nil"/>
              <w:right w:val="nil"/>
            </w:tcBorders>
            <w:tcMar>
              <w:top w:w="0" w:type="dxa"/>
              <w:left w:w="62" w:type="dxa"/>
              <w:bottom w:w="0" w:type="dxa"/>
              <w:right w:w="62" w:type="dxa"/>
            </w:tcMar>
          </w:tcPr>
          <w:p w:rsidR="00000000" w:rsidP="00F50AC5">
            <w:pPr>
              <w:pStyle w:val="BodyText"/>
              <w:rPr>
                <w:lang w:val="en-NZ"/>
              </w:rPr>
            </w:pPr>
            <w:r w:rsidRPr="00F50AC5">
              <w:rPr>
                <w:rStyle w:val="BoldandItalics"/>
              </w:rPr>
              <w:t>Compliance requirements for fire safety</w:t>
            </w:r>
            <w:r w:rsidRPr="00F50AC5">
              <w:t xml:space="preserve"> are identified and interpreted.</w:t>
            </w:r>
          </w:p>
        </w:tc>
      </w:tr>
      <w:tr w:rsidTr="00F50AC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50AC5" w:rsidP="00F50AC5">
            <w:pPr>
              <w:pStyle w:val="BodyText"/>
            </w:pPr>
            <w:r w:rsidRPr="00F50AC5">
              <w:t>1.6.</w:t>
            </w:r>
          </w:p>
        </w:tc>
        <w:tc>
          <w:tcPr>
            <w:tcW w:w="5610" w:type="dxa"/>
            <w:tcBorders>
              <w:top w:val="nil"/>
              <w:left w:val="nil"/>
              <w:bottom w:val="nil"/>
              <w:right w:val="nil"/>
            </w:tcBorders>
            <w:tcMar>
              <w:top w:w="0" w:type="dxa"/>
              <w:left w:w="62" w:type="dxa"/>
              <w:bottom w:w="0" w:type="dxa"/>
              <w:right w:w="62" w:type="dxa"/>
            </w:tcMar>
          </w:tcPr>
          <w:p w:rsidR="00000000" w:rsidP="00F50AC5">
            <w:pPr>
              <w:pStyle w:val="BodyText"/>
              <w:rPr>
                <w:lang w:val="en-NZ"/>
              </w:rPr>
            </w:pPr>
            <w:r w:rsidRPr="00F50AC5">
              <w:rPr>
                <w:rStyle w:val="BoldandItalics"/>
              </w:rPr>
              <w:t>Compliance requirements for health and amenity</w:t>
            </w:r>
            <w:r w:rsidRPr="00F50AC5">
              <w:t xml:space="preserve"> are identified and interpreted.</w:t>
            </w:r>
          </w:p>
        </w:tc>
      </w:tr>
      <w:tr w:rsidTr="00F50AC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50AC5" w:rsidP="00F50AC5">
            <w:pPr>
              <w:pStyle w:val="BodyText"/>
            </w:pPr>
            <w:r w:rsidRPr="00F50AC5">
              <w:t>1.7.</w:t>
            </w:r>
          </w:p>
        </w:tc>
        <w:tc>
          <w:tcPr>
            <w:tcW w:w="5610" w:type="dxa"/>
            <w:tcBorders>
              <w:top w:val="nil"/>
              <w:left w:val="nil"/>
              <w:bottom w:val="nil"/>
              <w:right w:val="nil"/>
            </w:tcBorders>
            <w:tcMar>
              <w:top w:w="0" w:type="dxa"/>
              <w:left w:w="62" w:type="dxa"/>
              <w:bottom w:w="0" w:type="dxa"/>
              <w:right w:w="62" w:type="dxa"/>
            </w:tcMar>
          </w:tcPr>
          <w:p w:rsidR="00000000" w:rsidP="00F50AC5">
            <w:pPr>
              <w:pStyle w:val="BodyText"/>
              <w:rPr>
                <w:lang w:val="en-NZ"/>
              </w:rPr>
            </w:pPr>
            <w:r w:rsidRPr="00F50AC5">
              <w:rPr>
                <w:rStyle w:val="BoldandItalics"/>
              </w:rPr>
              <w:t>Compliance requirements for safe movement and access</w:t>
            </w:r>
            <w:r w:rsidRPr="00F50AC5">
              <w:t xml:space="preserve"> are identified and interpreted.</w:t>
            </w:r>
          </w:p>
        </w:tc>
      </w:tr>
      <w:tr w:rsidTr="00F50AC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50AC5" w:rsidP="00F50AC5">
            <w:pPr>
              <w:pStyle w:val="BodyText"/>
            </w:pPr>
            <w:r w:rsidRPr="00F50AC5">
              <w:t>1.8.</w:t>
            </w:r>
          </w:p>
        </w:tc>
        <w:tc>
          <w:tcPr>
            <w:tcW w:w="5610" w:type="dxa"/>
            <w:tcBorders>
              <w:top w:val="nil"/>
              <w:left w:val="nil"/>
              <w:bottom w:val="nil"/>
              <w:right w:val="nil"/>
            </w:tcBorders>
            <w:tcMar>
              <w:top w:w="0" w:type="dxa"/>
              <w:left w:w="62" w:type="dxa"/>
              <w:bottom w:w="0" w:type="dxa"/>
              <w:right w:w="62" w:type="dxa"/>
            </w:tcMar>
          </w:tcPr>
          <w:p w:rsidR="00000000" w:rsidP="00F50AC5">
            <w:pPr>
              <w:pStyle w:val="BodyText"/>
              <w:rPr>
                <w:lang w:val="en-NZ"/>
              </w:rPr>
            </w:pPr>
            <w:r w:rsidRPr="00F50AC5">
              <w:rPr>
                <w:rStyle w:val="BoldandItalics"/>
              </w:rPr>
              <w:t>Compliance requirements for energy efficiency</w:t>
            </w:r>
            <w:r w:rsidRPr="00F50AC5">
              <w:t xml:space="preserve"> are identified and interpreted. </w:t>
            </w:r>
          </w:p>
        </w:tc>
      </w:tr>
      <w:tr w:rsidTr="00F50AC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50AC5">
            <w:pPr>
              <w:pStyle w:val="BodyText"/>
              <w:rPr>
                <w:lang w:val="en-NZ"/>
              </w:rPr>
            </w:pPr>
          </w:p>
        </w:tc>
      </w:tr>
      <w:tr w:rsidTr="00F50AC5">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F50AC5">
            <w:pPr>
              <w:pStyle w:val="BodyText"/>
              <w:rPr>
                <w:lang w:val="en-NZ"/>
              </w:rPr>
            </w:pPr>
            <w:r w:rsidRPr="00F50AC5">
              <w:t>2.</w:t>
            </w:r>
          </w:p>
        </w:tc>
        <w:tc>
          <w:tcPr>
            <w:tcW w:w="2100" w:type="dxa"/>
            <w:vMerge w:val="restart"/>
            <w:tcBorders>
              <w:top w:val="nil"/>
              <w:left w:val="nil"/>
              <w:bottom w:val="nil"/>
              <w:right w:val="nil"/>
            </w:tcBorders>
            <w:tcMar>
              <w:top w:w="0" w:type="dxa"/>
              <w:left w:w="62" w:type="dxa"/>
              <w:bottom w:w="0" w:type="dxa"/>
              <w:right w:w="62" w:type="dxa"/>
            </w:tcMar>
          </w:tcPr>
          <w:p w:rsidR="00000000" w:rsidP="00F50AC5">
            <w:pPr>
              <w:pStyle w:val="BodyText"/>
              <w:rPr>
                <w:lang w:val="en-NZ"/>
              </w:rPr>
            </w:pPr>
            <w:r w:rsidRPr="00F50AC5">
              <w:t>Plan inspections.</w:t>
            </w:r>
          </w:p>
        </w:tc>
        <w:tc>
          <w:tcPr>
            <w:tcW w:w="770" w:type="dxa"/>
            <w:tcBorders>
              <w:top w:val="nil"/>
              <w:left w:val="nil"/>
              <w:bottom w:val="nil"/>
              <w:right w:val="nil"/>
            </w:tcBorders>
            <w:tcMar>
              <w:top w:w="0" w:type="dxa"/>
              <w:left w:w="62" w:type="dxa"/>
              <w:bottom w:w="0" w:type="dxa"/>
              <w:right w:w="62" w:type="dxa"/>
            </w:tcMar>
          </w:tcPr>
          <w:p w:rsidR="00000000" w:rsidP="00F50AC5">
            <w:pPr>
              <w:pStyle w:val="BodyText"/>
              <w:rPr>
                <w:lang w:val="en-NZ"/>
              </w:rPr>
            </w:pPr>
            <w:r w:rsidRPr="00F50AC5">
              <w:t>2.1.</w:t>
            </w:r>
          </w:p>
        </w:tc>
        <w:tc>
          <w:tcPr>
            <w:tcW w:w="5610" w:type="dxa"/>
            <w:tcBorders>
              <w:top w:val="nil"/>
              <w:left w:val="nil"/>
              <w:bottom w:val="nil"/>
              <w:right w:val="nil"/>
            </w:tcBorders>
            <w:tcMar>
              <w:top w:w="0" w:type="dxa"/>
              <w:left w:w="62" w:type="dxa"/>
              <w:bottom w:w="0" w:type="dxa"/>
              <w:right w:w="62" w:type="dxa"/>
            </w:tcMar>
          </w:tcPr>
          <w:p w:rsidR="00000000" w:rsidP="00F50AC5">
            <w:pPr>
              <w:pStyle w:val="BodyText"/>
              <w:rPr>
                <w:lang w:val="en-NZ"/>
              </w:rPr>
            </w:pPr>
            <w:r w:rsidRPr="00F50AC5">
              <w:t>Building approval documentation is reviewed and requirements for specific additional inspections are interpreted.</w:t>
            </w:r>
          </w:p>
        </w:tc>
      </w:tr>
      <w:tr w:rsidTr="00F50AC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0AC5">
            <w:pPr>
              <w:pStyle w:val="BodyText"/>
              <w:rPr>
                <w:lang w:val="en-NZ"/>
              </w:rPr>
            </w:pPr>
            <w:r w:rsidRPr="00F50AC5">
              <w:t>2.2.</w:t>
            </w:r>
          </w:p>
        </w:tc>
        <w:tc>
          <w:tcPr>
            <w:tcW w:w="5610" w:type="dxa"/>
            <w:tcBorders>
              <w:top w:val="nil"/>
              <w:left w:val="nil"/>
              <w:bottom w:val="nil"/>
              <w:right w:val="nil"/>
            </w:tcBorders>
            <w:tcMar>
              <w:top w:w="0" w:type="dxa"/>
              <w:left w:w="62" w:type="dxa"/>
              <w:bottom w:w="0" w:type="dxa"/>
              <w:right w:w="62" w:type="dxa"/>
            </w:tcMar>
          </w:tcPr>
          <w:p w:rsidR="00000000" w:rsidP="00F50AC5">
            <w:pPr>
              <w:pStyle w:val="BodyText"/>
              <w:rPr>
                <w:lang w:val="en-NZ"/>
              </w:rPr>
            </w:pPr>
            <w:r w:rsidRPr="00F50AC5">
              <w:t xml:space="preserve">Specialist consultants with relevant expertise are identified and engaged, if required, according to </w:t>
            </w:r>
            <w:r w:rsidRPr="00F50AC5">
              <w:t>workplace procedures.</w:t>
            </w:r>
          </w:p>
        </w:tc>
      </w:tr>
      <w:tr w:rsidTr="00F50AC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50AC5" w:rsidP="00F50AC5">
            <w:pPr>
              <w:pStyle w:val="BodyText"/>
            </w:pPr>
            <w:r w:rsidRPr="00F50AC5">
              <w:t>2.3.</w:t>
            </w:r>
          </w:p>
        </w:tc>
        <w:tc>
          <w:tcPr>
            <w:tcW w:w="5610" w:type="dxa"/>
            <w:tcBorders>
              <w:top w:val="nil"/>
              <w:left w:val="nil"/>
              <w:bottom w:val="nil"/>
              <w:right w:val="nil"/>
            </w:tcBorders>
            <w:tcMar>
              <w:top w:w="0" w:type="dxa"/>
              <w:left w:w="62" w:type="dxa"/>
              <w:bottom w:w="0" w:type="dxa"/>
              <w:right w:w="62" w:type="dxa"/>
            </w:tcMar>
          </w:tcPr>
          <w:p w:rsidR="00000000" w:rsidP="00F50AC5">
            <w:pPr>
              <w:pStyle w:val="BodyText"/>
              <w:rPr>
                <w:lang w:val="en-NZ"/>
              </w:rPr>
            </w:pPr>
            <w:r w:rsidRPr="00F50AC5">
              <w:rPr>
                <w:rStyle w:val="BoldandItalics"/>
              </w:rPr>
              <w:t>Wor</w:t>
            </w:r>
            <w:r w:rsidRPr="00F50AC5">
              <w:rPr>
                <w:rStyle w:val="BoldandItalics"/>
              </w:rPr>
              <w:t>k health and safety (WHS) requirements</w:t>
            </w:r>
            <w:r w:rsidRPr="00F50AC5">
              <w:t xml:space="preserve"> and tools and equipment required for inspections are identified and applied to planning.</w:t>
            </w:r>
          </w:p>
        </w:tc>
      </w:tr>
      <w:tr w:rsidTr="00F50AC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0AC5">
            <w:pPr>
              <w:pStyle w:val="BodyText"/>
              <w:rPr>
                <w:lang w:val="en-NZ"/>
              </w:rPr>
            </w:pPr>
            <w:r w:rsidRPr="00F50AC5">
              <w:t>2.4.</w:t>
            </w:r>
          </w:p>
        </w:tc>
        <w:tc>
          <w:tcPr>
            <w:tcW w:w="5610" w:type="dxa"/>
            <w:tcBorders>
              <w:top w:val="nil"/>
              <w:left w:val="nil"/>
              <w:bottom w:val="nil"/>
              <w:right w:val="nil"/>
            </w:tcBorders>
            <w:tcMar>
              <w:top w:w="0" w:type="dxa"/>
              <w:left w:w="62" w:type="dxa"/>
              <w:bottom w:w="0" w:type="dxa"/>
              <w:right w:w="62" w:type="dxa"/>
            </w:tcMar>
          </w:tcPr>
          <w:p w:rsidR="00000000" w:rsidP="00F50AC5">
            <w:pPr>
              <w:pStyle w:val="BodyText"/>
              <w:rPr>
                <w:lang w:val="en-NZ"/>
              </w:rPr>
            </w:pPr>
            <w:r w:rsidRPr="00F50AC5">
              <w:t xml:space="preserve">Inspections are scheduled according to project </w:t>
            </w:r>
            <w:r w:rsidRPr="00F50AC5">
              <w:t>and legislative and regulatory requirements, and stakeholders are notified as required.</w:t>
            </w:r>
          </w:p>
        </w:tc>
      </w:tr>
      <w:tr w:rsidTr="00F50AC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50AC5">
            <w:pPr>
              <w:pStyle w:val="BodyText"/>
              <w:rPr>
                <w:lang w:val="en-NZ"/>
              </w:rPr>
            </w:pPr>
          </w:p>
        </w:tc>
      </w:tr>
      <w:tr w:rsidTr="00F50AC5">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F50AC5">
            <w:pPr>
              <w:pStyle w:val="BodyText"/>
              <w:rPr>
                <w:lang w:val="en-NZ"/>
              </w:rPr>
            </w:pPr>
            <w:r w:rsidRPr="00F50AC5">
              <w:t>3.</w:t>
            </w:r>
          </w:p>
        </w:tc>
        <w:tc>
          <w:tcPr>
            <w:tcW w:w="2100" w:type="dxa"/>
            <w:vMerge w:val="restart"/>
            <w:tcBorders>
              <w:top w:val="nil"/>
              <w:left w:val="nil"/>
              <w:bottom w:val="nil"/>
              <w:right w:val="nil"/>
            </w:tcBorders>
            <w:tcMar>
              <w:top w:w="0" w:type="dxa"/>
              <w:left w:w="62" w:type="dxa"/>
              <w:bottom w:w="0" w:type="dxa"/>
              <w:right w:w="62" w:type="dxa"/>
            </w:tcMar>
          </w:tcPr>
          <w:p w:rsidR="00000000" w:rsidP="00F50AC5">
            <w:pPr>
              <w:pStyle w:val="BodyText"/>
              <w:rPr>
                <w:lang w:val="en-NZ"/>
              </w:rPr>
            </w:pPr>
            <w:r w:rsidRPr="00F50AC5">
              <w:t>Inspect compliance of building or structure.</w:t>
            </w:r>
          </w:p>
        </w:tc>
        <w:tc>
          <w:tcPr>
            <w:tcW w:w="770" w:type="dxa"/>
            <w:tcBorders>
              <w:top w:val="nil"/>
              <w:left w:val="nil"/>
              <w:bottom w:val="nil"/>
              <w:right w:val="nil"/>
            </w:tcBorders>
            <w:tcMar>
              <w:top w:w="0" w:type="dxa"/>
              <w:left w:w="62" w:type="dxa"/>
              <w:bottom w:w="0" w:type="dxa"/>
              <w:right w:w="62" w:type="dxa"/>
            </w:tcMar>
          </w:tcPr>
          <w:p w:rsidR="00000000" w:rsidP="00F50AC5">
            <w:pPr>
              <w:pStyle w:val="BodyText"/>
              <w:rPr>
                <w:lang w:val="en-NZ"/>
              </w:rPr>
            </w:pPr>
            <w:r w:rsidRPr="00F50AC5">
              <w:t>3.1.</w:t>
            </w:r>
          </w:p>
        </w:tc>
        <w:tc>
          <w:tcPr>
            <w:tcW w:w="5610" w:type="dxa"/>
            <w:tcBorders>
              <w:top w:val="nil"/>
              <w:left w:val="nil"/>
              <w:bottom w:val="nil"/>
              <w:right w:val="nil"/>
            </w:tcBorders>
            <w:tcMar>
              <w:top w:w="0" w:type="dxa"/>
              <w:left w:w="62" w:type="dxa"/>
              <w:bottom w:w="0" w:type="dxa"/>
              <w:right w:w="62" w:type="dxa"/>
            </w:tcMar>
          </w:tcPr>
          <w:p w:rsidR="00000000" w:rsidP="00F50AC5">
            <w:pPr>
              <w:pStyle w:val="BodyText"/>
              <w:rPr>
                <w:lang w:val="en-NZ"/>
              </w:rPr>
            </w:pPr>
            <w:r w:rsidRPr="00F50AC5">
              <w:t>Building or structure is surveyed according to statutory and WHS requirements.</w:t>
            </w:r>
          </w:p>
        </w:tc>
      </w:tr>
      <w:tr w:rsidTr="00F50AC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0AC5">
            <w:pPr>
              <w:pStyle w:val="BodyText"/>
              <w:rPr>
                <w:lang w:val="en-NZ"/>
              </w:rPr>
            </w:pPr>
            <w:r w:rsidRPr="00F50AC5">
              <w:t>3.2.</w:t>
            </w:r>
          </w:p>
        </w:tc>
        <w:tc>
          <w:tcPr>
            <w:tcW w:w="5610" w:type="dxa"/>
            <w:tcBorders>
              <w:top w:val="nil"/>
              <w:left w:val="nil"/>
              <w:bottom w:val="nil"/>
              <w:right w:val="nil"/>
            </w:tcBorders>
            <w:tcMar>
              <w:top w:w="0" w:type="dxa"/>
              <w:left w:w="62" w:type="dxa"/>
              <w:bottom w:w="0" w:type="dxa"/>
              <w:right w:w="62" w:type="dxa"/>
            </w:tcMar>
          </w:tcPr>
          <w:p w:rsidR="00000000" w:rsidP="00F50AC5">
            <w:pPr>
              <w:pStyle w:val="BodyText"/>
              <w:rPr>
                <w:lang w:val="en-NZ"/>
              </w:rPr>
            </w:pPr>
            <w:r w:rsidRPr="00F50AC5">
              <w:t>Featur</w:t>
            </w:r>
            <w:r w:rsidRPr="00F50AC5">
              <w:t>es of the building are assessed against compliance requirements and approved drawings, and discussed with on-site personnel as required.</w:t>
            </w:r>
          </w:p>
        </w:tc>
      </w:tr>
      <w:tr w:rsidTr="00F50AC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0AC5">
            <w:pPr>
              <w:pStyle w:val="BodyText"/>
              <w:rPr>
                <w:lang w:val="en-NZ"/>
              </w:rPr>
            </w:pPr>
            <w:r w:rsidRPr="00F50AC5">
              <w:t>3.3.</w:t>
            </w:r>
          </w:p>
        </w:tc>
        <w:tc>
          <w:tcPr>
            <w:tcW w:w="5610" w:type="dxa"/>
            <w:tcBorders>
              <w:top w:val="nil"/>
              <w:left w:val="nil"/>
              <w:bottom w:val="nil"/>
              <w:right w:val="nil"/>
            </w:tcBorders>
            <w:tcMar>
              <w:top w:w="0" w:type="dxa"/>
              <w:left w:w="62" w:type="dxa"/>
              <w:bottom w:w="0" w:type="dxa"/>
              <w:right w:w="62" w:type="dxa"/>
            </w:tcMar>
          </w:tcPr>
          <w:p w:rsidR="00000000" w:rsidP="00F50AC5">
            <w:pPr>
              <w:pStyle w:val="BodyText"/>
              <w:rPr>
                <w:lang w:val="en-NZ"/>
              </w:rPr>
            </w:pPr>
            <w:r w:rsidRPr="00F50AC5">
              <w:t>Details of non-compliant features are documented and reported according to workplace procedures and legislative</w:t>
            </w:r>
            <w:r w:rsidRPr="00F50AC5">
              <w:t xml:space="preserve"> and regulatory requirements.</w:t>
            </w:r>
          </w:p>
        </w:tc>
      </w:tr>
      <w:tr w:rsidTr="00F50AC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0AC5">
            <w:pPr>
              <w:pStyle w:val="BodyText"/>
              <w:rPr>
                <w:lang w:val="en-NZ"/>
              </w:rPr>
            </w:pPr>
            <w:r w:rsidRPr="00F50AC5">
              <w:t>3.4.</w:t>
            </w:r>
          </w:p>
        </w:tc>
        <w:tc>
          <w:tcPr>
            <w:tcW w:w="5610" w:type="dxa"/>
            <w:tcBorders>
              <w:top w:val="nil"/>
              <w:left w:val="nil"/>
              <w:bottom w:val="nil"/>
              <w:right w:val="nil"/>
            </w:tcBorders>
            <w:tcMar>
              <w:top w:w="0" w:type="dxa"/>
              <w:left w:w="62" w:type="dxa"/>
              <w:bottom w:w="0" w:type="dxa"/>
              <w:right w:w="62" w:type="dxa"/>
            </w:tcMar>
          </w:tcPr>
          <w:p w:rsidR="00000000" w:rsidP="00F50AC5">
            <w:pPr>
              <w:pStyle w:val="BodyText"/>
              <w:rPr>
                <w:lang w:val="en-NZ"/>
              </w:rPr>
            </w:pPr>
            <w:r w:rsidRPr="00F50AC5">
              <w:t>Non-compliant features are discussed with relevant contractors and work required to remedy non-compliance is negotiated according to scope of personal responsibilities.</w:t>
            </w:r>
          </w:p>
        </w:tc>
      </w:tr>
      <w:tr w:rsidTr="00F50AC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0AC5">
            <w:pPr>
              <w:pStyle w:val="BodyText"/>
              <w:rPr>
                <w:lang w:val="en-NZ"/>
              </w:rPr>
            </w:pPr>
            <w:r w:rsidRPr="00F50AC5">
              <w:t>3.5.</w:t>
            </w:r>
          </w:p>
        </w:tc>
        <w:tc>
          <w:tcPr>
            <w:tcW w:w="5610" w:type="dxa"/>
            <w:tcBorders>
              <w:top w:val="nil"/>
              <w:left w:val="nil"/>
              <w:bottom w:val="nil"/>
              <w:right w:val="nil"/>
            </w:tcBorders>
            <w:tcMar>
              <w:top w:w="0" w:type="dxa"/>
              <w:left w:w="62" w:type="dxa"/>
              <w:bottom w:w="0" w:type="dxa"/>
              <w:right w:w="62" w:type="dxa"/>
            </w:tcMar>
          </w:tcPr>
          <w:p w:rsidR="00000000" w:rsidP="00F50AC5">
            <w:pPr>
              <w:pStyle w:val="BodyText"/>
              <w:rPr>
                <w:lang w:val="en-NZ"/>
              </w:rPr>
            </w:pPr>
            <w:r w:rsidRPr="00F50AC5">
              <w:t>Timeframe for remedial action and rescheduled inspection is negotiated according to scope of personal responsibilities, and contractor’s failure to comply is reported according to legislative and regulatory requirements if required.</w:t>
            </w:r>
          </w:p>
        </w:tc>
      </w:tr>
      <w:tr w:rsidTr="00F50AC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0AC5">
            <w:pPr>
              <w:pStyle w:val="BodyText"/>
              <w:rPr>
                <w:lang w:val="en-NZ"/>
              </w:rPr>
            </w:pPr>
            <w:r w:rsidRPr="00F50AC5">
              <w:t>3.6.</w:t>
            </w:r>
          </w:p>
        </w:tc>
        <w:tc>
          <w:tcPr>
            <w:tcW w:w="5610" w:type="dxa"/>
            <w:tcBorders>
              <w:top w:val="nil"/>
              <w:left w:val="nil"/>
              <w:bottom w:val="nil"/>
              <w:right w:val="nil"/>
            </w:tcBorders>
            <w:tcMar>
              <w:top w:w="0" w:type="dxa"/>
              <w:left w:w="62" w:type="dxa"/>
              <w:bottom w:w="0" w:type="dxa"/>
              <w:right w:w="62" w:type="dxa"/>
            </w:tcMar>
          </w:tcPr>
          <w:p w:rsidR="00000000" w:rsidRPr="00F50AC5" w:rsidP="00F50AC5">
            <w:pPr>
              <w:pStyle w:val="BodyText"/>
            </w:pPr>
            <w:r w:rsidRPr="00F50AC5">
              <w:t xml:space="preserve">Certificate of </w:t>
            </w:r>
            <w:r w:rsidRPr="00F50AC5">
              <w:t>occupancy is prepared and processed according to legislative and regulatory requirements and scope of personal responsibilities.</w:t>
            </w:r>
          </w:p>
        </w:tc>
      </w:tr>
    </w:tbl>
    <w:p w:rsidR="00000000" w:rsidRPr="00F50AC5" w:rsidP="00F50AC5">
      <w:pPr>
        <w:pStyle w:val="BodyText"/>
      </w:pPr>
    </w:p>
    <w:p w:rsidR="00000000" w:rsidRPr="00F50AC5" w:rsidP="00F50AC5">
      <w:pPr>
        <w:pStyle w:val="AllowPageBreak"/>
      </w:pPr>
    </w:p>
    <w:p w:rsidR="00000000" w:rsidRPr="00F50AC5" w:rsidP="00F50AC5">
      <w:pPr>
        <w:pStyle w:val="Heading1"/>
      </w:pPr>
      <w:bookmarkStart w:id="7" w:name="O_734137"/>
      <w:bookmarkEnd w:id="7"/>
      <w:r w:rsidRPr="00F50AC5">
        <w:t>Foundation Skills</w:t>
      </w:r>
    </w:p>
    <w:tbl>
      <w:tblPr>
        <w:tblW w:w="0" w:type="auto"/>
        <w:tblLayout w:type="fixed"/>
        <w:tblCellMar>
          <w:left w:w="62" w:type="dxa"/>
          <w:right w:w="62" w:type="dxa"/>
        </w:tblCellMar>
        <w:tblLook w:val="0000"/>
      </w:tblPr>
      <w:tblGrid>
        <w:gridCol w:w="2256"/>
        <w:gridCol w:w="6878"/>
      </w:tblGrid>
      <w:tr w:rsidTr="00F50AC5">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P="00F50AC5">
            <w:pPr>
              <w:pStyle w:val="BodyText"/>
              <w:rPr>
                <w:lang w:val="en-NZ"/>
              </w:rPr>
            </w:pPr>
            <w:r w:rsidRPr="00F50AC5">
              <w:t>This section describes the language, literacy, numeracy and employment skills essential to</w:t>
            </w:r>
            <w:r w:rsidRPr="00F50AC5">
              <w:t xml:space="preserve"> performance in this unit but not explicit in the performance criteria.</w:t>
            </w:r>
          </w:p>
        </w:tc>
      </w:tr>
      <w:tr w:rsidTr="00F50AC5">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RPr="00F50AC5" w:rsidP="00F50AC5">
            <w:pPr>
              <w:pStyle w:val="BodyText"/>
            </w:pPr>
            <w:r w:rsidRPr="00F50AC5">
              <w:rPr>
                <w:rStyle w:val="SpecialBold"/>
              </w:rPr>
              <w:t>Skill</w:t>
            </w:r>
          </w:p>
        </w:tc>
        <w:tc>
          <w:tcPr>
            <w:tcW w:w="6878" w:type="dxa"/>
            <w:tcBorders>
              <w:top w:val="nil"/>
              <w:left w:val="nil"/>
              <w:bottom w:val="nil"/>
              <w:right w:val="nil"/>
            </w:tcBorders>
            <w:tcMar>
              <w:top w:w="0" w:type="dxa"/>
              <w:left w:w="62" w:type="dxa"/>
              <w:bottom w:w="0" w:type="dxa"/>
              <w:right w:w="62" w:type="dxa"/>
            </w:tcMar>
          </w:tcPr>
          <w:p w:rsidR="00000000" w:rsidP="00F50AC5">
            <w:pPr>
              <w:pStyle w:val="BodyText"/>
              <w:rPr>
                <w:lang w:val="en-NZ"/>
              </w:rPr>
            </w:pPr>
            <w:r w:rsidRPr="00F50AC5">
              <w:rPr>
                <w:rStyle w:val="SpecialBold"/>
              </w:rPr>
              <w:t>Performance feature</w:t>
            </w:r>
          </w:p>
        </w:tc>
      </w:tr>
      <w:tr w:rsidTr="00F50AC5">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F50AC5">
            <w:pPr>
              <w:pStyle w:val="BodyText"/>
              <w:rPr>
                <w:lang w:val="en-NZ"/>
              </w:rPr>
            </w:pPr>
            <w:r w:rsidRPr="00F50AC5">
              <w:t>Learning skills to:</w:t>
            </w:r>
          </w:p>
        </w:tc>
        <w:tc>
          <w:tcPr>
            <w:tcW w:w="6878" w:type="dxa"/>
            <w:tcBorders>
              <w:top w:val="nil"/>
              <w:left w:val="nil"/>
              <w:bottom w:val="nil"/>
              <w:right w:val="nil"/>
            </w:tcBorders>
            <w:tcMar>
              <w:top w:w="0" w:type="dxa"/>
              <w:left w:w="62" w:type="dxa"/>
              <w:bottom w:w="0" w:type="dxa"/>
              <w:right w:w="62" w:type="dxa"/>
            </w:tcMar>
          </w:tcPr>
          <w:p w:rsidR="00000000" w:rsidRPr="00F50AC5" w:rsidP="00F50AC5">
            <w:pPr>
              <w:pStyle w:val="ListBullet"/>
            </w:pPr>
            <w:r w:rsidRPr="00F50AC5">
              <w:t xml:space="preserve">independently access and interpret a range of complex technical information relating </w:t>
            </w:r>
            <w:r w:rsidRPr="00F50AC5">
              <w:t>to compliance requirements for features of class 1 and 10 buildings and structures, including specific requirements for particular geographic and climatic areas and different planning schemes and codes.</w:t>
            </w:r>
          </w:p>
          <w:p w:rsidR="00000000" w:rsidP="00F50AC5">
            <w:pPr>
              <w:pStyle w:val="BodyText"/>
              <w:rPr>
                <w:lang w:val="en-NZ"/>
              </w:rPr>
            </w:pPr>
          </w:p>
        </w:tc>
      </w:tr>
      <w:tr w:rsidTr="00F50AC5">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F50AC5">
            <w:pPr>
              <w:pStyle w:val="BodyText"/>
              <w:rPr>
                <w:lang w:val="en-NZ"/>
              </w:rPr>
            </w:pPr>
            <w:r w:rsidRPr="00F50AC5">
              <w:t>Numeracy skills to:</w:t>
            </w:r>
          </w:p>
        </w:tc>
        <w:tc>
          <w:tcPr>
            <w:tcW w:w="6878" w:type="dxa"/>
            <w:tcBorders>
              <w:top w:val="nil"/>
              <w:left w:val="nil"/>
              <w:bottom w:val="nil"/>
              <w:right w:val="nil"/>
            </w:tcBorders>
            <w:tcMar>
              <w:top w:w="0" w:type="dxa"/>
              <w:left w:w="62" w:type="dxa"/>
              <w:bottom w:w="0" w:type="dxa"/>
              <w:right w:w="62" w:type="dxa"/>
            </w:tcMar>
          </w:tcPr>
          <w:p w:rsidR="00000000" w:rsidRPr="00F50AC5" w:rsidP="00F50AC5">
            <w:pPr>
              <w:pStyle w:val="ListBullet"/>
            </w:pPr>
            <w:r w:rsidRPr="00F50AC5">
              <w:t>extract and interpret a range of mathematical information contained in technical documentation relating to class 1 and 10 buildings and structures</w:t>
            </w:r>
          </w:p>
          <w:p w:rsidR="00000000" w:rsidRPr="00F50AC5" w:rsidP="00F50AC5">
            <w:pPr>
              <w:pStyle w:val="ListBullet"/>
            </w:pPr>
            <w:r w:rsidRPr="00F50AC5">
              <w:t>interpret information relating to the relationship between stair riser, going and slope</w:t>
            </w:r>
          </w:p>
          <w:p w:rsidR="00000000" w:rsidRPr="00F50AC5" w:rsidP="00F50AC5">
            <w:pPr>
              <w:pStyle w:val="ListBullet"/>
            </w:pPr>
            <w:r w:rsidRPr="00F50AC5">
              <w:t>measure and calculate</w:t>
            </w:r>
            <w:r w:rsidRPr="00F50AC5">
              <w:t xml:space="preserve"> dimensions, including:</w:t>
            </w:r>
          </w:p>
          <w:p w:rsidR="00000000" w:rsidRPr="00F50AC5" w:rsidP="00F50AC5">
            <w:pPr>
              <w:pStyle w:val="ListBullet2"/>
            </w:pPr>
            <w:r w:rsidRPr="00F50AC5">
              <w:t>anti-capillary breaks in flashings</w:t>
            </w:r>
          </w:p>
          <w:p w:rsidR="00000000" w:rsidRPr="00F50AC5" w:rsidP="00F50AC5">
            <w:pPr>
              <w:pStyle w:val="ListBullet2"/>
            </w:pPr>
            <w:r w:rsidRPr="00F50AC5">
              <w:t>fire separation requirements.</w:t>
            </w:r>
          </w:p>
          <w:p w:rsidR="00000000" w:rsidP="00F50AC5">
            <w:pPr>
              <w:pStyle w:val="BodyText"/>
              <w:rPr>
                <w:lang w:val="en-NZ"/>
              </w:rPr>
            </w:pPr>
          </w:p>
        </w:tc>
      </w:tr>
      <w:tr w:rsidTr="00F50AC5">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F50AC5">
            <w:pPr>
              <w:pStyle w:val="BodyText"/>
              <w:rPr>
                <w:lang w:val="en-NZ"/>
              </w:rPr>
            </w:pPr>
            <w:r w:rsidRPr="00F50AC5">
              <w:t>Oral communication skills to:</w:t>
            </w:r>
          </w:p>
        </w:tc>
        <w:tc>
          <w:tcPr>
            <w:tcW w:w="6878" w:type="dxa"/>
            <w:tcBorders>
              <w:top w:val="nil"/>
              <w:left w:val="nil"/>
              <w:bottom w:val="nil"/>
              <w:right w:val="nil"/>
            </w:tcBorders>
            <w:tcMar>
              <w:top w:w="0" w:type="dxa"/>
              <w:left w:w="62" w:type="dxa"/>
              <w:bottom w:w="0" w:type="dxa"/>
              <w:right w:w="62" w:type="dxa"/>
            </w:tcMar>
          </w:tcPr>
          <w:p w:rsidR="00000000" w:rsidRPr="00F50AC5" w:rsidP="00F50AC5">
            <w:pPr>
              <w:pStyle w:val="ListBullet"/>
            </w:pPr>
            <w:r w:rsidRPr="00F50AC5">
              <w:t xml:space="preserve">use communication style and technical construction vocabulary to develop and maintain </w:t>
            </w:r>
            <w:r w:rsidRPr="00F50AC5">
              <w:t>cooperative and professional relationship with building contractors and exchange technical information</w:t>
            </w:r>
          </w:p>
          <w:p w:rsidR="00000000" w:rsidRPr="00F50AC5" w:rsidP="00F50AC5">
            <w:pPr>
              <w:pStyle w:val="ListBullet"/>
            </w:pPr>
            <w:r w:rsidRPr="00F50AC5">
              <w:t>monitor the effectiveness of interactions with on-site personnel when negotiating remedial work and adjust communication style to facilitate a positive o</w:t>
            </w:r>
            <w:r w:rsidRPr="00F50AC5">
              <w:t>utcome.</w:t>
            </w:r>
          </w:p>
          <w:p w:rsidR="00000000" w:rsidP="00F50AC5">
            <w:pPr>
              <w:pStyle w:val="BodyText"/>
              <w:rPr>
                <w:lang w:val="en-NZ"/>
              </w:rPr>
            </w:pPr>
          </w:p>
        </w:tc>
      </w:tr>
      <w:tr w:rsidTr="00F50AC5">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F50AC5">
            <w:pPr>
              <w:pStyle w:val="BodyText"/>
              <w:rPr>
                <w:lang w:val="en-NZ"/>
              </w:rPr>
            </w:pPr>
            <w:r w:rsidRPr="00F50AC5">
              <w:t>Reading skills to:</w:t>
            </w:r>
          </w:p>
        </w:tc>
        <w:tc>
          <w:tcPr>
            <w:tcW w:w="6878" w:type="dxa"/>
            <w:tcBorders>
              <w:top w:val="nil"/>
              <w:left w:val="nil"/>
              <w:bottom w:val="nil"/>
              <w:right w:val="nil"/>
            </w:tcBorders>
            <w:tcMar>
              <w:top w:w="0" w:type="dxa"/>
              <w:left w:w="62" w:type="dxa"/>
              <w:bottom w:w="0" w:type="dxa"/>
              <w:right w:w="62" w:type="dxa"/>
            </w:tcMar>
          </w:tcPr>
          <w:p w:rsidR="00000000" w:rsidRPr="00F50AC5" w:rsidP="00F50AC5">
            <w:pPr>
              <w:pStyle w:val="ListBullet"/>
            </w:pPr>
            <w:r w:rsidRPr="00F50AC5">
              <w:t>use different reading strategies to locate specific compliance requirements in a range of resources, including the BCA</w:t>
            </w:r>
          </w:p>
          <w:p w:rsidR="00000000" w:rsidRPr="00F50AC5" w:rsidP="00F50AC5">
            <w:pPr>
              <w:pStyle w:val="ListBullet"/>
            </w:pPr>
            <w:r w:rsidRPr="00F50AC5">
              <w:t xml:space="preserve">understand technical texts with complex structures, specialised vocabulary, acronyms and diagrams specific </w:t>
            </w:r>
            <w:r w:rsidRPr="00F50AC5">
              <w:t>to plans and compliance requirements for class 1 and 10 buildings and structures.</w:t>
            </w:r>
          </w:p>
          <w:p w:rsidR="00000000" w:rsidP="00F50AC5">
            <w:pPr>
              <w:pStyle w:val="BodyText"/>
              <w:rPr>
                <w:lang w:val="en-NZ"/>
              </w:rPr>
            </w:pPr>
          </w:p>
        </w:tc>
      </w:tr>
      <w:tr w:rsidTr="00F50AC5">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F50AC5">
            <w:pPr>
              <w:pStyle w:val="BodyText"/>
              <w:rPr>
                <w:lang w:val="en-NZ"/>
              </w:rPr>
            </w:pPr>
            <w:r w:rsidRPr="00F50AC5">
              <w:t>Writing skills to:</w:t>
            </w:r>
          </w:p>
        </w:tc>
        <w:tc>
          <w:tcPr>
            <w:tcW w:w="6878" w:type="dxa"/>
            <w:tcBorders>
              <w:top w:val="nil"/>
              <w:left w:val="nil"/>
              <w:bottom w:val="nil"/>
              <w:right w:val="nil"/>
            </w:tcBorders>
            <w:tcMar>
              <w:top w:w="0" w:type="dxa"/>
              <w:left w:w="62" w:type="dxa"/>
              <w:bottom w:w="0" w:type="dxa"/>
              <w:right w:w="62" w:type="dxa"/>
            </w:tcMar>
          </w:tcPr>
          <w:p w:rsidR="00000000" w:rsidRPr="00F50AC5" w:rsidP="00F50AC5">
            <w:pPr>
              <w:pStyle w:val="ListBullet"/>
            </w:pPr>
            <w:r w:rsidRPr="00F50AC5">
              <w:t>use accurately-spelled technical vocabulary specific to compliance of class 1 and 10 buildings and structures when compiling detailed non-compliance rep</w:t>
            </w:r>
            <w:r w:rsidRPr="00F50AC5">
              <w:t>orts.</w:t>
            </w:r>
          </w:p>
        </w:tc>
      </w:tr>
    </w:tbl>
    <w:p w:rsidR="00000000" w:rsidRPr="00F50AC5" w:rsidP="00F50AC5">
      <w:pPr>
        <w:pStyle w:val="BodyText"/>
      </w:pPr>
    </w:p>
    <w:p w:rsidR="00000000" w:rsidRPr="00F50AC5" w:rsidP="00F50AC5">
      <w:pPr>
        <w:pStyle w:val="AllowPageBreak"/>
      </w:pPr>
    </w:p>
    <w:p w:rsidR="00000000" w:rsidRPr="00F50AC5" w:rsidP="00F50AC5">
      <w:pPr>
        <w:pStyle w:val="Heading1"/>
      </w:pPr>
      <w:bookmarkStart w:id="8" w:name="O_734136"/>
      <w:bookmarkEnd w:id="8"/>
      <w:r w:rsidRPr="00F50AC5">
        <w:t>Range of Conditions</w:t>
      </w:r>
    </w:p>
    <w:tbl>
      <w:tblPr>
        <w:tblW w:w="0" w:type="auto"/>
        <w:tblLayout w:type="fixed"/>
        <w:tblCellMar>
          <w:left w:w="62" w:type="dxa"/>
          <w:right w:w="62" w:type="dxa"/>
        </w:tblCellMar>
        <w:tblLook w:val="0000"/>
      </w:tblPr>
      <w:tblGrid>
        <w:gridCol w:w="2262"/>
        <w:gridCol w:w="6872"/>
      </w:tblGrid>
      <w:tr w:rsidTr="00F50AC5">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F50AC5">
            <w:pPr>
              <w:pStyle w:val="BodyText"/>
              <w:rPr>
                <w:lang w:val="en-NZ"/>
              </w:rPr>
            </w:pPr>
            <w:r w:rsidRPr="00F50AC5">
              <w:t xml:space="preserve">This section specifies work environments and conditions that may affect performance. Essential operating conditions that may be present (depending </w:t>
            </w:r>
            <w:r w:rsidRPr="00F50AC5">
              <w:t>on the work situation, needs of the candidate, accessibility of the item, and local industry and regional contexts) are included. Bold italicised wording, if used in the performance criteria, is detailed below.</w:t>
            </w:r>
          </w:p>
        </w:tc>
      </w:tr>
      <w:tr w:rsidTr="00F50AC5">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F50AC5">
            <w:pPr>
              <w:pStyle w:val="BodyText"/>
              <w:rPr>
                <w:lang w:val="en-NZ"/>
              </w:rPr>
            </w:pPr>
            <w:r w:rsidRPr="00F50AC5">
              <w:rPr>
                <w:rStyle w:val="BoldandItalics"/>
              </w:rPr>
              <w:t>Compliance requirements for roof and wall c</w:t>
            </w:r>
            <w:r w:rsidRPr="00F50AC5">
              <w:rPr>
                <w:rStyle w:val="BoldandItalics"/>
              </w:rPr>
              <w:t>ladding</w:t>
            </w:r>
            <w:r w:rsidRPr="00F50AC5">
              <w:t xml:space="preserve"> must include:</w:t>
            </w:r>
          </w:p>
        </w:tc>
        <w:tc>
          <w:tcPr>
            <w:tcW w:w="6872" w:type="dxa"/>
            <w:tcBorders>
              <w:top w:val="nil"/>
              <w:left w:val="nil"/>
              <w:bottom w:val="nil"/>
              <w:right w:val="nil"/>
            </w:tcBorders>
            <w:tcMar>
              <w:top w:w="0" w:type="dxa"/>
              <w:left w:w="62" w:type="dxa"/>
              <w:bottom w:w="0" w:type="dxa"/>
              <w:right w:w="62" w:type="dxa"/>
            </w:tcMar>
          </w:tcPr>
          <w:p w:rsidR="00000000" w:rsidRPr="00F50AC5" w:rsidP="00F50AC5">
            <w:pPr>
              <w:pStyle w:val="ListBullet"/>
            </w:pPr>
            <w:r w:rsidRPr="00F50AC5">
              <w:t>Australian standards referenced in the BCA for different types of cladding</w:t>
            </w:r>
          </w:p>
          <w:p w:rsidR="00000000" w:rsidRPr="00F50AC5" w:rsidP="00F50AC5">
            <w:pPr>
              <w:pStyle w:val="ListBullet"/>
            </w:pPr>
            <w:r w:rsidRPr="00F50AC5">
              <w:t>BCA:</w:t>
            </w:r>
          </w:p>
          <w:p w:rsidR="00000000" w:rsidRPr="00F50AC5" w:rsidP="00F50AC5">
            <w:pPr>
              <w:pStyle w:val="ListBullet2"/>
            </w:pPr>
            <w:r w:rsidRPr="00F50AC5">
              <w:t>deemed-to-satisfy specifications</w:t>
            </w:r>
          </w:p>
          <w:p w:rsidR="00000000" w:rsidRPr="00F50AC5" w:rsidP="00F50AC5">
            <w:pPr>
              <w:pStyle w:val="ListBullet2"/>
            </w:pPr>
            <w:r w:rsidRPr="00F50AC5">
              <w:t>performance requirements for alternative solutions</w:t>
            </w:r>
          </w:p>
          <w:p w:rsidR="00000000" w:rsidRPr="00F50AC5" w:rsidP="00F50AC5">
            <w:pPr>
              <w:pStyle w:val="ListBullet"/>
            </w:pPr>
            <w:r w:rsidRPr="00F50AC5">
              <w:t>requirements for gutters and downpipes</w:t>
            </w:r>
          </w:p>
          <w:p w:rsidR="00000000" w:rsidRPr="00F50AC5" w:rsidP="00F50AC5">
            <w:pPr>
              <w:pStyle w:val="ListBullet"/>
            </w:pPr>
            <w:r w:rsidRPr="00F50AC5">
              <w:t>requirements specified by relevant authority or experts.</w:t>
            </w:r>
          </w:p>
          <w:p w:rsidR="00000000" w:rsidP="00F50AC5">
            <w:pPr>
              <w:pStyle w:val="BodyText"/>
              <w:rPr>
                <w:lang w:val="en-NZ"/>
              </w:rPr>
            </w:pPr>
          </w:p>
        </w:tc>
      </w:tr>
      <w:tr w:rsidTr="00F50AC5">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F50AC5">
            <w:pPr>
              <w:pStyle w:val="BodyText"/>
              <w:rPr>
                <w:lang w:val="en-NZ"/>
              </w:rPr>
            </w:pPr>
            <w:r w:rsidRPr="00F50AC5">
              <w:rPr>
                <w:rStyle w:val="BoldandItalics"/>
              </w:rPr>
              <w:t>Compliance requirements for glazing</w:t>
            </w:r>
            <w:r w:rsidRPr="00F50AC5">
              <w:t xml:space="preserve"> must include:</w:t>
            </w:r>
          </w:p>
        </w:tc>
        <w:tc>
          <w:tcPr>
            <w:tcW w:w="6872" w:type="dxa"/>
            <w:tcBorders>
              <w:top w:val="nil"/>
              <w:left w:val="nil"/>
              <w:bottom w:val="nil"/>
              <w:right w:val="nil"/>
            </w:tcBorders>
            <w:tcMar>
              <w:top w:w="0" w:type="dxa"/>
              <w:left w:w="62" w:type="dxa"/>
              <w:bottom w:w="0" w:type="dxa"/>
              <w:right w:w="62" w:type="dxa"/>
            </w:tcMar>
          </w:tcPr>
          <w:p w:rsidR="00000000" w:rsidRPr="00F50AC5" w:rsidP="00F50AC5">
            <w:pPr>
              <w:pStyle w:val="ListBullet"/>
            </w:pPr>
            <w:r w:rsidRPr="00F50AC5">
              <w:t>Australian standards referenced in the BCA</w:t>
            </w:r>
          </w:p>
          <w:p w:rsidR="00000000" w:rsidRPr="00F50AC5" w:rsidP="00F50AC5">
            <w:pPr>
              <w:pStyle w:val="ListBullet"/>
            </w:pPr>
            <w:r w:rsidRPr="00F50AC5">
              <w:t>BCA:</w:t>
            </w:r>
          </w:p>
          <w:p w:rsidR="00000000" w:rsidRPr="00F50AC5" w:rsidP="00F50AC5">
            <w:pPr>
              <w:pStyle w:val="ListBullet2"/>
            </w:pPr>
            <w:r w:rsidRPr="00F50AC5">
              <w:t>deemed-to-satisfy specifications</w:t>
            </w:r>
          </w:p>
          <w:p w:rsidR="00000000" w:rsidRPr="00F50AC5" w:rsidP="00F50AC5">
            <w:pPr>
              <w:pStyle w:val="ListBullet2"/>
            </w:pPr>
            <w:r w:rsidRPr="00F50AC5">
              <w:t>performance requirements for alternative solutions</w:t>
            </w:r>
          </w:p>
          <w:p w:rsidR="00000000" w:rsidRPr="00F50AC5" w:rsidP="00F50AC5">
            <w:pPr>
              <w:pStyle w:val="ListBullet"/>
            </w:pPr>
            <w:r w:rsidRPr="00F50AC5">
              <w:t>requirements specified by relevant authority or experts.</w:t>
            </w:r>
          </w:p>
          <w:p w:rsidR="00000000" w:rsidP="00F50AC5">
            <w:pPr>
              <w:pStyle w:val="BodyText"/>
              <w:rPr>
                <w:lang w:val="en-NZ"/>
              </w:rPr>
            </w:pPr>
          </w:p>
        </w:tc>
      </w:tr>
      <w:tr w:rsidTr="00F50AC5">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F50AC5">
            <w:pPr>
              <w:pStyle w:val="BodyText"/>
              <w:rPr>
                <w:lang w:val="en-NZ"/>
              </w:rPr>
            </w:pPr>
            <w:r w:rsidRPr="00F50AC5">
              <w:rPr>
                <w:rStyle w:val="BoldandItalics"/>
              </w:rPr>
              <w:t>Compliance requirements for fire safety</w:t>
            </w:r>
            <w:r w:rsidRPr="00F50AC5">
              <w:t xml:space="preserve"> must include:</w:t>
            </w:r>
          </w:p>
        </w:tc>
        <w:tc>
          <w:tcPr>
            <w:tcW w:w="6872" w:type="dxa"/>
            <w:tcBorders>
              <w:top w:val="nil"/>
              <w:left w:val="nil"/>
              <w:bottom w:val="nil"/>
              <w:right w:val="nil"/>
            </w:tcBorders>
            <w:tcMar>
              <w:top w:w="0" w:type="dxa"/>
              <w:left w:w="62" w:type="dxa"/>
              <w:bottom w:w="0" w:type="dxa"/>
              <w:right w:w="62" w:type="dxa"/>
            </w:tcMar>
          </w:tcPr>
          <w:p w:rsidR="00000000" w:rsidRPr="00F50AC5" w:rsidP="00F50AC5">
            <w:pPr>
              <w:pStyle w:val="ListBullet"/>
            </w:pPr>
            <w:r w:rsidRPr="00F50AC5">
              <w:t>Australian standards referenced in the BCA</w:t>
            </w:r>
          </w:p>
          <w:p w:rsidR="00000000" w:rsidRPr="00F50AC5" w:rsidP="00F50AC5">
            <w:pPr>
              <w:pStyle w:val="ListBullet"/>
            </w:pPr>
            <w:r w:rsidRPr="00F50AC5">
              <w:t>BCA:</w:t>
            </w:r>
          </w:p>
          <w:p w:rsidR="00000000" w:rsidRPr="00F50AC5" w:rsidP="00F50AC5">
            <w:pPr>
              <w:pStyle w:val="ListBullet2"/>
            </w:pPr>
            <w:r w:rsidRPr="00F50AC5">
              <w:t>deemed-to-satisfy specifications</w:t>
            </w:r>
          </w:p>
          <w:p w:rsidR="00000000" w:rsidRPr="00F50AC5" w:rsidP="00F50AC5">
            <w:pPr>
              <w:pStyle w:val="ListBullet2"/>
            </w:pPr>
            <w:r w:rsidRPr="00F50AC5">
              <w:t>performance requirements for alternative solutions</w:t>
            </w:r>
          </w:p>
          <w:p w:rsidR="00000000" w:rsidRPr="00F50AC5" w:rsidP="00F50AC5">
            <w:pPr>
              <w:pStyle w:val="ListBullet"/>
            </w:pPr>
            <w:r w:rsidRPr="00F50AC5">
              <w:t>requirements for:</w:t>
            </w:r>
          </w:p>
          <w:p w:rsidR="00000000" w:rsidRPr="00F50AC5" w:rsidP="00F50AC5">
            <w:pPr>
              <w:pStyle w:val="ListBullet2"/>
            </w:pPr>
            <w:r w:rsidRPr="00F50AC5">
              <w:t>alpine locations</w:t>
            </w:r>
          </w:p>
          <w:p w:rsidR="00000000" w:rsidRPr="00F50AC5" w:rsidP="00F50AC5">
            <w:pPr>
              <w:pStyle w:val="ListBullet2"/>
            </w:pPr>
            <w:r w:rsidRPr="00F50AC5">
              <w:t>bushfire locations</w:t>
            </w:r>
          </w:p>
          <w:p w:rsidR="00000000" w:rsidRPr="00F50AC5" w:rsidP="00F50AC5">
            <w:pPr>
              <w:pStyle w:val="ListBullet2"/>
            </w:pPr>
            <w:r w:rsidRPr="00F50AC5">
              <w:t>fire separation</w:t>
            </w:r>
          </w:p>
          <w:p w:rsidR="00000000" w:rsidRPr="00F50AC5" w:rsidP="00F50AC5">
            <w:pPr>
              <w:pStyle w:val="ListBullet2"/>
            </w:pPr>
            <w:r w:rsidRPr="00F50AC5">
              <w:t>heating appliances</w:t>
            </w:r>
          </w:p>
          <w:p w:rsidR="00000000" w:rsidRPr="00F50AC5" w:rsidP="00F50AC5">
            <w:pPr>
              <w:pStyle w:val="ListBullet"/>
            </w:pPr>
            <w:r w:rsidRPr="00F50AC5">
              <w:t>requirements specified by relevant authority or experts.</w:t>
            </w:r>
          </w:p>
          <w:p w:rsidR="00000000" w:rsidP="00F50AC5">
            <w:pPr>
              <w:pStyle w:val="BodyText"/>
              <w:rPr>
                <w:lang w:val="en-NZ"/>
              </w:rPr>
            </w:pPr>
          </w:p>
        </w:tc>
      </w:tr>
      <w:tr w:rsidTr="00F50AC5">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F50AC5">
            <w:pPr>
              <w:pStyle w:val="BodyText"/>
              <w:rPr>
                <w:lang w:val="en-NZ"/>
              </w:rPr>
            </w:pPr>
            <w:r w:rsidRPr="00F50AC5">
              <w:rPr>
                <w:rStyle w:val="BoldandItalics"/>
              </w:rPr>
              <w:t>Compliance requirements for health and amenity</w:t>
            </w:r>
            <w:r w:rsidRPr="00F50AC5">
              <w:t xml:space="preserve"> must include:</w:t>
            </w:r>
          </w:p>
        </w:tc>
        <w:tc>
          <w:tcPr>
            <w:tcW w:w="6872" w:type="dxa"/>
            <w:tcBorders>
              <w:top w:val="nil"/>
              <w:left w:val="nil"/>
              <w:bottom w:val="nil"/>
              <w:right w:val="nil"/>
            </w:tcBorders>
            <w:tcMar>
              <w:top w:w="0" w:type="dxa"/>
              <w:left w:w="62" w:type="dxa"/>
              <w:bottom w:w="0" w:type="dxa"/>
              <w:right w:w="62" w:type="dxa"/>
            </w:tcMar>
          </w:tcPr>
          <w:p w:rsidR="00000000" w:rsidRPr="00F50AC5" w:rsidP="00F50AC5">
            <w:pPr>
              <w:pStyle w:val="ListBullet"/>
            </w:pPr>
            <w:r w:rsidRPr="00F50AC5">
              <w:t>Australian standards referenced in the BCA</w:t>
            </w:r>
          </w:p>
          <w:p w:rsidR="00000000" w:rsidRPr="00F50AC5" w:rsidP="00F50AC5">
            <w:pPr>
              <w:pStyle w:val="ListBullet"/>
            </w:pPr>
            <w:r w:rsidRPr="00F50AC5">
              <w:t>BCA:</w:t>
            </w:r>
          </w:p>
          <w:p w:rsidR="00000000" w:rsidRPr="00F50AC5" w:rsidP="00F50AC5">
            <w:pPr>
              <w:pStyle w:val="ListBullet2"/>
            </w:pPr>
            <w:r w:rsidRPr="00F50AC5">
              <w:t>deemed-to-satisfy specifications</w:t>
            </w:r>
          </w:p>
          <w:p w:rsidR="00000000" w:rsidRPr="00F50AC5" w:rsidP="00F50AC5">
            <w:pPr>
              <w:pStyle w:val="ListBullet2"/>
            </w:pPr>
            <w:r w:rsidRPr="00F50AC5">
              <w:t>performance requirements for alternative solutions</w:t>
            </w:r>
          </w:p>
          <w:p w:rsidR="00000000" w:rsidRPr="00F50AC5" w:rsidP="00F50AC5">
            <w:pPr>
              <w:pStyle w:val="ListBullet"/>
            </w:pPr>
            <w:r w:rsidRPr="00F50AC5">
              <w:t>requirements for:</w:t>
            </w:r>
          </w:p>
          <w:p w:rsidR="00000000" w:rsidRPr="00F50AC5" w:rsidP="00F50AC5">
            <w:pPr>
              <w:pStyle w:val="ListBullet2"/>
            </w:pPr>
            <w:r w:rsidRPr="00F50AC5">
              <w:t>facilities</w:t>
            </w:r>
          </w:p>
          <w:p w:rsidR="00000000" w:rsidRPr="00F50AC5" w:rsidP="00F50AC5">
            <w:pPr>
              <w:pStyle w:val="ListBullet2"/>
            </w:pPr>
            <w:r w:rsidRPr="00F50AC5">
              <w:t>light</w:t>
            </w:r>
          </w:p>
          <w:p w:rsidR="00000000" w:rsidRPr="00F50AC5" w:rsidP="00F50AC5">
            <w:pPr>
              <w:pStyle w:val="ListBullet2"/>
            </w:pPr>
            <w:r w:rsidRPr="00F50AC5">
              <w:t>room heights</w:t>
            </w:r>
          </w:p>
          <w:p w:rsidR="00000000" w:rsidRPr="00F50AC5" w:rsidP="00F50AC5">
            <w:pPr>
              <w:pStyle w:val="ListBullet2"/>
            </w:pPr>
            <w:r w:rsidRPr="00F50AC5">
              <w:t>sound insulation</w:t>
            </w:r>
          </w:p>
          <w:p w:rsidR="00000000" w:rsidRPr="00F50AC5" w:rsidP="00F50AC5">
            <w:pPr>
              <w:pStyle w:val="ListBullet2"/>
            </w:pPr>
            <w:r w:rsidRPr="00F50AC5">
              <w:t>ventilation</w:t>
            </w:r>
          </w:p>
          <w:p w:rsidR="00000000" w:rsidRPr="00F50AC5" w:rsidP="00F50AC5">
            <w:pPr>
              <w:pStyle w:val="ListBullet2"/>
            </w:pPr>
            <w:r w:rsidRPr="00F50AC5">
              <w:t>waterproofing of wet areas</w:t>
            </w:r>
          </w:p>
          <w:p w:rsidR="00000000" w:rsidRPr="00F50AC5" w:rsidP="00F50AC5">
            <w:pPr>
              <w:pStyle w:val="ListBullet"/>
            </w:pPr>
            <w:r w:rsidRPr="00F50AC5">
              <w:t>requirements specified by relevant authority or experts.</w:t>
            </w:r>
          </w:p>
          <w:p w:rsidR="00000000" w:rsidP="00F50AC5">
            <w:pPr>
              <w:pStyle w:val="BodyText"/>
              <w:rPr>
                <w:lang w:val="en-NZ"/>
              </w:rPr>
            </w:pPr>
          </w:p>
        </w:tc>
      </w:tr>
      <w:tr w:rsidTr="00F50AC5">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F50AC5">
            <w:pPr>
              <w:pStyle w:val="BodyText"/>
              <w:rPr>
                <w:lang w:val="en-NZ"/>
              </w:rPr>
            </w:pPr>
            <w:r w:rsidRPr="00F50AC5">
              <w:rPr>
                <w:rStyle w:val="BoldandItalics"/>
              </w:rPr>
              <w:t xml:space="preserve">Compliance requirements for </w:t>
            </w:r>
            <w:r w:rsidRPr="00F50AC5">
              <w:rPr>
                <w:rStyle w:val="BoldandItalics"/>
              </w:rPr>
              <w:t>safe movement and access</w:t>
            </w:r>
            <w:r w:rsidRPr="00F50AC5">
              <w:t xml:space="preserve"> must include:</w:t>
            </w:r>
          </w:p>
        </w:tc>
        <w:tc>
          <w:tcPr>
            <w:tcW w:w="6872" w:type="dxa"/>
            <w:tcBorders>
              <w:top w:val="nil"/>
              <w:left w:val="nil"/>
              <w:bottom w:val="nil"/>
              <w:right w:val="nil"/>
            </w:tcBorders>
            <w:tcMar>
              <w:top w:w="0" w:type="dxa"/>
              <w:left w:w="62" w:type="dxa"/>
              <w:bottom w:w="0" w:type="dxa"/>
              <w:right w:w="62" w:type="dxa"/>
            </w:tcMar>
          </w:tcPr>
          <w:p w:rsidR="00000000" w:rsidRPr="00F50AC5" w:rsidP="00F50AC5">
            <w:pPr>
              <w:pStyle w:val="ListBullet"/>
            </w:pPr>
            <w:r w:rsidRPr="00F50AC5">
              <w:t>Australian standards referenced in the BCA</w:t>
            </w:r>
          </w:p>
          <w:p w:rsidR="00000000" w:rsidRPr="00F50AC5" w:rsidP="00F50AC5">
            <w:pPr>
              <w:pStyle w:val="ListBullet"/>
            </w:pPr>
            <w:r w:rsidRPr="00F50AC5">
              <w:t>BCA:</w:t>
            </w:r>
          </w:p>
          <w:p w:rsidR="00000000" w:rsidRPr="00F50AC5" w:rsidP="00F50AC5">
            <w:pPr>
              <w:pStyle w:val="ListBullet2"/>
            </w:pPr>
            <w:r w:rsidRPr="00F50AC5">
              <w:t>deemed-to-satisfy specifications</w:t>
            </w:r>
          </w:p>
          <w:p w:rsidR="00000000" w:rsidRPr="00F50AC5" w:rsidP="00F50AC5">
            <w:pPr>
              <w:pStyle w:val="ListBullet2"/>
            </w:pPr>
            <w:r w:rsidRPr="00F50AC5">
              <w:t>performance requirements for alternative solutions</w:t>
            </w:r>
          </w:p>
          <w:p w:rsidR="00000000" w:rsidRPr="00F50AC5" w:rsidP="00F50AC5">
            <w:pPr>
              <w:pStyle w:val="ListBullet"/>
            </w:pPr>
            <w:r w:rsidRPr="00F50AC5">
              <w:t>requirements for:</w:t>
            </w:r>
          </w:p>
          <w:p w:rsidR="00000000" w:rsidRPr="00F50AC5" w:rsidP="00F50AC5">
            <w:pPr>
              <w:pStyle w:val="ListBullet2"/>
            </w:pPr>
            <w:r w:rsidRPr="00F50AC5">
              <w:t>balustrades</w:t>
            </w:r>
          </w:p>
          <w:p w:rsidR="00000000" w:rsidRPr="00F50AC5" w:rsidP="00F50AC5">
            <w:pPr>
              <w:pStyle w:val="ListBullet2"/>
            </w:pPr>
            <w:r w:rsidRPr="00F50AC5">
              <w:t>stair construction</w:t>
            </w:r>
          </w:p>
          <w:p w:rsidR="00000000" w:rsidRPr="00F50AC5" w:rsidP="00F50AC5">
            <w:pPr>
              <w:pStyle w:val="ListBullet2"/>
            </w:pPr>
            <w:r w:rsidRPr="00F50AC5">
              <w:t>swimming pool access</w:t>
            </w:r>
          </w:p>
          <w:p w:rsidR="00000000" w:rsidRPr="00F50AC5" w:rsidP="00F50AC5">
            <w:pPr>
              <w:pStyle w:val="ListBullet"/>
            </w:pPr>
            <w:r w:rsidRPr="00F50AC5">
              <w:t>requirements specified by relevant authority or experts.</w:t>
            </w:r>
          </w:p>
          <w:p w:rsidR="00000000" w:rsidP="00F50AC5">
            <w:pPr>
              <w:pStyle w:val="BodyText"/>
              <w:rPr>
                <w:lang w:val="en-NZ"/>
              </w:rPr>
            </w:pPr>
          </w:p>
        </w:tc>
      </w:tr>
      <w:tr w:rsidTr="00F50AC5">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F50AC5">
            <w:pPr>
              <w:pStyle w:val="BodyText"/>
              <w:rPr>
                <w:lang w:val="en-NZ"/>
              </w:rPr>
            </w:pPr>
            <w:r w:rsidRPr="00F50AC5">
              <w:rPr>
                <w:rStyle w:val="BoldandItalics"/>
              </w:rPr>
              <w:t>Compliance requirements for energy efficiency</w:t>
            </w:r>
            <w:r w:rsidRPr="00F50AC5">
              <w:t xml:space="preserve"> must include:</w:t>
            </w:r>
          </w:p>
        </w:tc>
        <w:tc>
          <w:tcPr>
            <w:tcW w:w="6872" w:type="dxa"/>
            <w:tcBorders>
              <w:top w:val="nil"/>
              <w:left w:val="nil"/>
              <w:bottom w:val="nil"/>
              <w:right w:val="nil"/>
            </w:tcBorders>
            <w:tcMar>
              <w:top w:w="0" w:type="dxa"/>
              <w:left w:w="62" w:type="dxa"/>
              <w:bottom w:w="0" w:type="dxa"/>
              <w:right w:w="62" w:type="dxa"/>
            </w:tcMar>
          </w:tcPr>
          <w:p w:rsidR="00000000" w:rsidRPr="00F50AC5" w:rsidP="00F50AC5">
            <w:pPr>
              <w:pStyle w:val="ListBullet"/>
            </w:pPr>
            <w:r w:rsidRPr="00F50AC5">
              <w:t>Australian standards referenced in the BCA</w:t>
            </w:r>
          </w:p>
          <w:p w:rsidR="00000000" w:rsidRPr="00F50AC5" w:rsidP="00F50AC5">
            <w:pPr>
              <w:pStyle w:val="ListBullet"/>
            </w:pPr>
            <w:r w:rsidRPr="00F50AC5">
              <w:t>BCA:</w:t>
            </w:r>
          </w:p>
          <w:p w:rsidR="00000000" w:rsidRPr="00F50AC5" w:rsidP="00F50AC5">
            <w:pPr>
              <w:pStyle w:val="ListBullet2"/>
            </w:pPr>
            <w:r w:rsidRPr="00F50AC5">
              <w:t>deemed-to-satisfy specifications</w:t>
            </w:r>
          </w:p>
          <w:p w:rsidR="00000000" w:rsidRPr="00F50AC5" w:rsidP="00F50AC5">
            <w:pPr>
              <w:pStyle w:val="ListBullet2"/>
            </w:pPr>
            <w:r w:rsidRPr="00F50AC5">
              <w:t>performance requirements for alternative solutions</w:t>
            </w:r>
          </w:p>
          <w:p w:rsidR="00000000" w:rsidRPr="00F50AC5" w:rsidP="00F50AC5">
            <w:pPr>
              <w:pStyle w:val="ListBullet"/>
            </w:pPr>
            <w:r w:rsidRPr="00F50AC5">
              <w:t>requirements for:</w:t>
            </w:r>
          </w:p>
          <w:p w:rsidR="00000000" w:rsidRPr="00F50AC5" w:rsidP="00F50AC5">
            <w:pPr>
              <w:pStyle w:val="ListBullet2"/>
            </w:pPr>
            <w:r w:rsidRPr="00F50AC5">
              <w:t>air movement</w:t>
            </w:r>
          </w:p>
          <w:p w:rsidR="00000000" w:rsidRPr="00F50AC5" w:rsidP="00F50AC5">
            <w:pPr>
              <w:pStyle w:val="ListBullet2"/>
            </w:pPr>
            <w:r w:rsidRPr="00F50AC5">
              <w:t>building:</w:t>
            </w:r>
          </w:p>
          <w:p w:rsidR="00000000" w:rsidRPr="00F50AC5" w:rsidP="00F50AC5">
            <w:pPr>
              <w:pStyle w:val="ListBullet3"/>
            </w:pPr>
            <w:r w:rsidRPr="00F50AC5">
              <w:t>fabric</w:t>
            </w:r>
          </w:p>
          <w:p w:rsidR="00000000" w:rsidRPr="00F50AC5" w:rsidP="00F50AC5">
            <w:pPr>
              <w:pStyle w:val="ListBullet3"/>
            </w:pPr>
            <w:r w:rsidRPr="00F50AC5">
              <w:t>sealing</w:t>
            </w:r>
          </w:p>
          <w:p w:rsidR="00000000" w:rsidRPr="00F50AC5" w:rsidP="00F50AC5">
            <w:pPr>
              <w:pStyle w:val="ListBullet2"/>
            </w:pPr>
            <w:r w:rsidRPr="00F50AC5">
              <w:t>external glazing</w:t>
            </w:r>
          </w:p>
          <w:p w:rsidR="00000000" w:rsidRPr="00F50AC5" w:rsidP="00F50AC5">
            <w:pPr>
              <w:pStyle w:val="ListBullet2"/>
            </w:pPr>
            <w:r w:rsidRPr="00F50AC5">
              <w:t>services</w:t>
            </w:r>
          </w:p>
          <w:p w:rsidR="00000000" w:rsidRPr="00F50AC5" w:rsidP="00F50AC5">
            <w:pPr>
              <w:pStyle w:val="ListBullet"/>
            </w:pPr>
            <w:r w:rsidRPr="00F50AC5">
              <w:t>requirements specified by relevant authority or experts.</w:t>
            </w:r>
          </w:p>
          <w:p w:rsidR="00000000" w:rsidP="00F50AC5">
            <w:pPr>
              <w:pStyle w:val="BodyText"/>
              <w:rPr>
                <w:lang w:val="en-NZ"/>
              </w:rPr>
            </w:pPr>
          </w:p>
        </w:tc>
      </w:tr>
      <w:tr w:rsidTr="00F50AC5">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F50AC5">
            <w:pPr>
              <w:pStyle w:val="BodyText"/>
              <w:rPr>
                <w:lang w:val="en-NZ"/>
              </w:rPr>
            </w:pPr>
            <w:r w:rsidRPr="00F50AC5">
              <w:rPr>
                <w:rStyle w:val="BoldandItalics"/>
              </w:rPr>
              <w:t>WHS requirements</w:t>
            </w:r>
            <w:r w:rsidRPr="00F50AC5">
              <w:t xml:space="preserve"> must include:</w:t>
            </w:r>
          </w:p>
        </w:tc>
        <w:tc>
          <w:tcPr>
            <w:tcW w:w="6872" w:type="dxa"/>
            <w:tcBorders>
              <w:top w:val="nil"/>
              <w:left w:val="nil"/>
              <w:bottom w:val="nil"/>
              <w:right w:val="nil"/>
            </w:tcBorders>
            <w:tcMar>
              <w:top w:w="0" w:type="dxa"/>
              <w:left w:w="62" w:type="dxa"/>
              <w:bottom w:w="0" w:type="dxa"/>
              <w:right w:w="62" w:type="dxa"/>
            </w:tcMar>
          </w:tcPr>
          <w:p w:rsidR="00000000" w:rsidRPr="00F50AC5" w:rsidP="00F50AC5">
            <w:pPr>
              <w:pStyle w:val="ListBullet"/>
            </w:pPr>
            <w:r w:rsidRPr="00F50AC5">
              <w:t>personal protective equipment (PPE), including:</w:t>
            </w:r>
          </w:p>
          <w:p w:rsidR="00000000" w:rsidRPr="00F50AC5" w:rsidP="00F50AC5">
            <w:pPr>
              <w:pStyle w:val="ListBullet2"/>
            </w:pPr>
            <w:r w:rsidRPr="00F50AC5">
              <w:t>boots</w:t>
            </w:r>
          </w:p>
          <w:p w:rsidR="00000000" w:rsidRPr="00F50AC5" w:rsidP="00F50AC5">
            <w:pPr>
              <w:pStyle w:val="ListBullet2"/>
            </w:pPr>
            <w:r w:rsidRPr="00F50AC5">
              <w:t>hard hat</w:t>
            </w:r>
          </w:p>
          <w:p w:rsidR="00000000" w:rsidRPr="00F50AC5" w:rsidP="00F50AC5">
            <w:pPr>
              <w:pStyle w:val="ListBullet2"/>
            </w:pPr>
            <w:r w:rsidRPr="00F50AC5">
              <w:t>high visibility vest</w:t>
            </w:r>
          </w:p>
          <w:p w:rsidR="00000000" w:rsidRPr="00F50AC5" w:rsidP="00F50AC5">
            <w:pPr>
              <w:pStyle w:val="ListBullet"/>
            </w:pPr>
            <w:r w:rsidRPr="00F50AC5">
              <w:t>special protective equipment mandated for specific inspection tasks.</w:t>
            </w:r>
          </w:p>
          <w:p w:rsidR="00000000" w:rsidRPr="00F50AC5" w:rsidP="00F50AC5">
            <w:pPr>
              <w:pStyle w:val="BodyText"/>
            </w:pPr>
          </w:p>
        </w:tc>
      </w:tr>
    </w:tbl>
    <w:p w:rsidR="00000000" w:rsidRPr="00F50AC5" w:rsidP="00F50AC5">
      <w:pPr>
        <w:pStyle w:val="BodyText"/>
      </w:pPr>
    </w:p>
    <w:p w:rsidR="00000000" w:rsidRPr="00F50AC5" w:rsidP="00F50AC5">
      <w:pPr>
        <w:pStyle w:val="AllowPageBreak"/>
      </w:pPr>
    </w:p>
    <w:p w:rsidR="00000000" w:rsidRPr="00F50AC5" w:rsidP="00F50AC5">
      <w:pPr>
        <w:pStyle w:val="Heading1"/>
      </w:pPr>
      <w:bookmarkStart w:id="9" w:name="O_734135"/>
      <w:bookmarkEnd w:id="9"/>
      <w:r w:rsidRPr="00F50AC5">
        <w:t>Unit Mapping Information</w:t>
      </w:r>
    </w:p>
    <w:p w:rsidR="00000000" w:rsidRPr="00F50AC5" w:rsidP="00ED0CAA">
      <w:pPr>
        <w:pStyle w:val="BodyText"/>
      </w:pPr>
      <w:r w:rsidRPr="00F50AC5">
        <w:t>No equivalent unit.</w:t>
      </w:r>
    </w:p>
    <w:p w:rsidR="00000000" w:rsidRPr="00F50AC5" w:rsidP="00F50AC5">
      <w:pPr>
        <w:pStyle w:val="Heading1"/>
      </w:pPr>
      <w:bookmarkStart w:id="10" w:name="O_734128"/>
      <w:bookmarkEnd w:id="10"/>
      <w:r w:rsidRPr="00F50AC5">
        <w:t>Links</w:t>
      </w:r>
    </w:p>
    <w:p w:rsidR="00000000" w:rsidRPr="00F50AC5" w:rsidP="00ED0CAA">
      <w:pPr>
        <w:pStyle w:val="BodyText"/>
      </w:pPr>
      <w:r w:rsidRPr="00F50AC5">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B5406D">
        <w:rPr>
          <w:rStyle w:val="Hyperlink"/>
        </w:rPr>
        <w:t>https://vetnet.gov.au/Pages/TrainingDocs.aspx?q=7e15fa6a-68b8-4097-b099-030a5569b1ad</w:t>
      </w:r>
      <w:r>
        <w:fldChar w:fldCharType="end"/>
      </w:r>
    </w:p>
    <w:p w:rsidR="00000000" w:rsidRPr="00F50AC5" w:rsidP="00F50AC5"/>
    <w:sectPr w:rsidSect="00F50A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A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AC5" w:rsidRPr="00ED0CAA" w:rsidP="00ED0C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A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CAA" w:rsidP="00F50A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D0CAA" w:rsidP="00F50AC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Artibus Innovation</w:t>
    </w:r>
    <w:r>
      <w:fldChar w:fldCharType="end"/>
    </w:r>
  </w:p>
  <w:p w:rsidR="00ED0CAA" w:rsidP="00F50A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A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C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0AC5" w:rsidRPr="00ED0CAA" w:rsidP="00ED0C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A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CAA" w:rsidRPr="002D2AF8" w:rsidP="00F50AC5">
    <w:pPr>
      <w:pStyle w:val="Header"/>
      <w:framePr w:wrap="around"/>
    </w:pPr>
    <w:r>
      <w:fldChar w:fldCharType="begin"/>
    </w:r>
    <w:r>
      <w:instrText xml:space="preserve"> TITLE   \* MERGEFORMAT </w:instrText>
    </w:r>
    <w:r>
      <w:fldChar w:fldCharType="separate"/>
    </w:r>
    <w:r>
      <w:t>CPCCBS6014 Conduct and report on advanced and final inspections of residential buildings up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2020</w:t>
    </w:r>
    <w:r>
      <w:fldChar w:fldCharType="end"/>
    </w:r>
  </w:p>
  <w:p w:rsidR="00ED0CAA" w:rsidP="00F50A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0253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C4A8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1CB2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0A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0AC5"/>
    <w:pPr>
      <w:spacing w:before="360" w:after="60"/>
      <w:outlineLvl w:val="0"/>
    </w:pPr>
    <w:rPr>
      <w:sz w:val="32"/>
    </w:rPr>
  </w:style>
  <w:style w:type="paragraph" w:styleId="Heading2">
    <w:name w:val="heading 2"/>
    <w:basedOn w:val="HeadingBase"/>
    <w:next w:val="BodyText"/>
    <w:link w:val="Heading2Char"/>
    <w:qFormat/>
    <w:rsid w:val="00F50AC5"/>
    <w:pPr>
      <w:keepLines/>
      <w:spacing w:before="240" w:after="120"/>
      <w:outlineLvl w:val="1"/>
    </w:pPr>
    <w:rPr>
      <w:sz w:val="28"/>
      <w:szCs w:val="40"/>
    </w:rPr>
  </w:style>
  <w:style w:type="paragraph" w:styleId="Heading3">
    <w:name w:val="heading 3"/>
    <w:basedOn w:val="HeadingBase"/>
    <w:next w:val="BodyText"/>
    <w:link w:val="Heading3Char"/>
    <w:qFormat/>
    <w:rsid w:val="00F50AC5"/>
    <w:pPr>
      <w:spacing w:before="180" w:after="120"/>
      <w:outlineLvl w:val="2"/>
    </w:pPr>
    <w:rPr>
      <w:spacing w:val="-10"/>
      <w:kern w:val="32"/>
    </w:rPr>
  </w:style>
  <w:style w:type="paragraph" w:styleId="Heading4">
    <w:name w:val="heading 4"/>
    <w:basedOn w:val="HeadingBase"/>
    <w:next w:val="BodyText"/>
    <w:link w:val="Heading4Char"/>
    <w:qFormat/>
    <w:rsid w:val="00F50AC5"/>
    <w:pPr>
      <w:spacing w:before="160" w:after="120"/>
      <w:outlineLvl w:val="3"/>
    </w:pPr>
    <w:rPr>
      <w:sz w:val="22"/>
    </w:rPr>
  </w:style>
  <w:style w:type="paragraph" w:styleId="Heading5">
    <w:name w:val="heading 5"/>
    <w:basedOn w:val="HeadingBase"/>
    <w:next w:val="Normal"/>
    <w:link w:val="Heading5Char"/>
    <w:qFormat/>
    <w:rsid w:val="00F50AC5"/>
    <w:pPr>
      <w:spacing w:before="80"/>
      <w:outlineLvl w:val="4"/>
    </w:pPr>
    <w:rPr>
      <w:color w:val="918585"/>
      <w:sz w:val="20"/>
    </w:rPr>
  </w:style>
  <w:style w:type="paragraph" w:styleId="Heading6">
    <w:name w:val="heading 6"/>
    <w:basedOn w:val="HeadingBase"/>
    <w:next w:val="Normal"/>
    <w:link w:val="Heading6Char"/>
    <w:qFormat/>
    <w:rsid w:val="00F50AC5"/>
    <w:pPr>
      <w:spacing w:before="60"/>
      <w:outlineLvl w:val="5"/>
    </w:pPr>
    <w:rPr>
      <w:color w:val="918585"/>
      <w:sz w:val="20"/>
    </w:rPr>
  </w:style>
  <w:style w:type="paragraph" w:styleId="Heading7">
    <w:name w:val="heading 7"/>
    <w:basedOn w:val="Normal"/>
    <w:next w:val="Normal"/>
    <w:link w:val="Heading7Char"/>
    <w:qFormat/>
    <w:rsid w:val="00F50AC5"/>
    <w:pPr>
      <w:ind w:left="720"/>
      <w:outlineLvl w:val="6"/>
    </w:pPr>
    <w:rPr>
      <w:i/>
    </w:rPr>
  </w:style>
  <w:style w:type="paragraph" w:styleId="Heading8">
    <w:name w:val="heading 8"/>
    <w:basedOn w:val="Normal"/>
    <w:next w:val="Normal"/>
    <w:link w:val="Heading8Char"/>
    <w:qFormat/>
    <w:rsid w:val="00F50AC5"/>
    <w:pPr>
      <w:ind w:left="720"/>
      <w:outlineLvl w:val="7"/>
    </w:pPr>
    <w:rPr>
      <w:i/>
    </w:rPr>
  </w:style>
  <w:style w:type="paragraph" w:styleId="Heading9">
    <w:name w:val="heading 9"/>
    <w:basedOn w:val="Normal"/>
    <w:next w:val="Normal"/>
    <w:link w:val="Heading9Char"/>
    <w:qFormat/>
    <w:rsid w:val="00F50AC5"/>
    <w:pPr>
      <w:ind w:left="720"/>
      <w:outlineLvl w:val="8"/>
    </w:pPr>
    <w:rPr>
      <w:i/>
    </w:rPr>
  </w:style>
  <w:style w:type="character" w:default="1" w:styleId="DefaultParagraphFont">
    <w:name w:val="Default Paragraph Font"/>
    <w:uiPriority w:val="1"/>
    <w:unhideWhenUsed/>
    <w:rsid w:val="00F50A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0AC5"/>
  </w:style>
  <w:style w:type="character" w:customStyle="1" w:styleId="Heading1Char">
    <w:name w:val="Heading 1 Char"/>
    <w:basedOn w:val="DefaultParagraphFont"/>
    <w:link w:val="Heading1"/>
    <w:rsid w:val="00F50AC5"/>
    <w:rPr>
      <w:rFonts w:ascii="Times New Roman" w:eastAsia="Times New Roman" w:hAnsi="Times New Roman" w:cs="Times New Roman"/>
      <w:b/>
      <w:sz w:val="32"/>
      <w:szCs w:val="20"/>
      <w:lang w:eastAsia="en-US"/>
    </w:rPr>
  </w:style>
  <w:style w:type="paragraph" w:styleId="BodyText">
    <w:name w:val="Body Text"/>
    <w:basedOn w:val="Normal"/>
    <w:link w:val="BodyTextChar"/>
    <w:rsid w:val="00F50A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0AC5"/>
    <w:rPr>
      <w:rFonts w:ascii="Times New Roman" w:eastAsia="Times New Roman" w:hAnsi="Times New Roman" w:cs="Times New Roman"/>
      <w:sz w:val="24"/>
      <w:lang w:eastAsia="en-US"/>
    </w:rPr>
  </w:style>
  <w:style w:type="paragraph" w:styleId="ListBullet">
    <w:name w:val="List Bullet"/>
    <w:basedOn w:val="List"/>
    <w:rsid w:val="00F50AC5"/>
    <w:pPr>
      <w:numPr>
        <w:numId w:val="13"/>
      </w:numPr>
      <w:tabs>
        <w:tab w:val="clear" w:pos="340"/>
      </w:tabs>
      <w:spacing w:before="40" w:after="40"/>
    </w:pPr>
  </w:style>
  <w:style w:type="character" w:customStyle="1" w:styleId="SpecialBold">
    <w:name w:val="Special Bold"/>
    <w:basedOn w:val="DefaultParagraphFont"/>
    <w:rsid w:val="00F50AC5"/>
    <w:rPr>
      <w:b/>
      <w:spacing w:val="0"/>
    </w:rPr>
  </w:style>
  <w:style w:type="paragraph" w:styleId="ListBullet2">
    <w:name w:val="List Bullet 2"/>
    <w:basedOn w:val="List2"/>
    <w:rsid w:val="00F50AC5"/>
    <w:pPr>
      <w:numPr>
        <w:numId w:val="14"/>
      </w:numPr>
      <w:tabs>
        <w:tab w:val="clear" w:pos="680"/>
      </w:tabs>
    </w:pPr>
  </w:style>
  <w:style w:type="paragraph" w:customStyle="1" w:styleId="SuperHeading">
    <w:name w:val="SuperHeading"/>
    <w:basedOn w:val="Normal"/>
    <w:rsid w:val="00F50AC5"/>
    <w:pPr>
      <w:spacing w:before="240" w:after="120"/>
      <w:outlineLvl w:val="0"/>
    </w:pPr>
    <w:rPr>
      <w:rFonts w:ascii="Times New Roman" w:hAnsi="Times New Roman"/>
      <w:b/>
      <w:sz w:val="32"/>
    </w:rPr>
  </w:style>
  <w:style w:type="paragraph" w:customStyle="1" w:styleId="AllowPageBreak">
    <w:name w:val="AllowPageBreak"/>
    <w:rsid w:val="00F50AC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50AC5"/>
    <w:pPr>
      <w:numPr>
        <w:numId w:val="3"/>
      </w:numPr>
      <w:tabs>
        <w:tab w:val="clear" w:pos="1021"/>
      </w:tabs>
      <w:ind w:left="1037" w:hanging="357"/>
    </w:pPr>
  </w:style>
  <w:style w:type="character" w:customStyle="1" w:styleId="BoldandItalics">
    <w:name w:val="Bold and Italics"/>
    <w:qFormat/>
    <w:rsid w:val="00F50AC5"/>
    <w:rPr>
      <w:b/>
      <w:i/>
      <w:u w:val="none"/>
    </w:rPr>
  </w:style>
  <w:style w:type="character" w:customStyle="1" w:styleId="Heading2Char">
    <w:name w:val="Heading 2 Char"/>
    <w:basedOn w:val="DefaultParagraphFont"/>
    <w:link w:val="Heading2"/>
    <w:rsid w:val="00F50A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0A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0A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0A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0A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0A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0A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0AC5"/>
    <w:rPr>
      <w:rFonts w:ascii="Courier New" w:eastAsia="Times New Roman" w:hAnsi="Courier New" w:cs="Times New Roman"/>
      <w:i/>
      <w:szCs w:val="20"/>
      <w:lang w:eastAsia="en-US"/>
    </w:rPr>
  </w:style>
  <w:style w:type="paragraph" w:customStyle="1" w:styleId="HeadingBase">
    <w:name w:val="Heading Base"/>
    <w:rsid w:val="00F50A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0AC5"/>
    <w:pPr>
      <w:tabs>
        <w:tab w:val="right" w:leader="dot" w:pos="9072"/>
      </w:tabs>
      <w:ind w:left="567"/>
    </w:pPr>
    <w:rPr>
      <w:szCs w:val="22"/>
    </w:rPr>
  </w:style>
  <w:style w:type="paragraph" w:customStyle="1" w:styleId="TOCBase">
    <w:name w:val="TOC Base"/>
    <w:rsid w:val="00F50A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0AC5"/>
    <w:pPr>
      <w:tabs>
        <w:tab w:val="right" w:leader="dot" w:pos="9072"/>
      </w:tabs>
      <w:spacing w:before="40" w:after="40"/>
      <w:ind w:left="284"/>
    </w:pPr>
    <w:rPr>
      <w:rFonts w:ascii="Times New Roman" w:hAnsi="Times New Roman"/>
    </w:rPr>
  </w:style>
  <w:style w:type="paragraph" w:styleId="TOC1">
    <w:name w:val="toc 1"/>
    <w:basedOn w:val="TOCBase"/>
    <w:next w:val="Normal"/>
    <w:rsid w:val="00F50A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0A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0AC5"/>
    <w:rPr>
      <w:rFonts w:ascii="Times New Roman" w:eastAsia="Times New Roman" w:hAnsi="Times New Roman" w:cs="Times New Roman"/>
      <w:sz w:val="16"/>
      <w:lang w:eastAsia="en-US"/>
    </w:rPr>
  </w:style>
  <w:style w:type="paragraph" w:styleId="Title">
    <w:name w:val="Title"/>
    <w:basedOn w:val="HeadingBase"/>
    <w:link w:val="TitleChar"/>
    <w:qFormat/>
    <w:rsid w:val="00F50AC5"/>
    <w:pPr>
      <w:spacing w:before="5040"/>
      <w:jc w:val="center"/>
    </w:pPr>
    <w:rPr>
      <w:sz w:val="48"/>
      <w:szCs w:val="72"/>
      <w:lang w:val="en-US"/>
    </w:rPr>
  </w:style>
  <w:style w:type="character" w:customStyle="1" w:styleId="TitleChar">
    <w:name w:val="Title Char"/>
    <w:basedOn w:val="DefaultParagraphFont"/>
    <w:link w:val="Title"/>
    <w:rsid w:val="00F50A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0AC5"/>
    <w:pPr>
      <w:tabs>
        <w:tab w:val="left" w:pos="3600"/>
        <w:tab w:val="left" w:pos="3958"/>
      </w:tabs>
    </w:pPr>
  </w:style>
  <w:style w:type="paragraph" w:styleId="List">
    <w:name w:val="List"/>
    <w:basedOn w:val="BodyText"/>
    <w:next w:val="BodyText"/>
    <w:rsid w:val="00F50AC5"/>
    <w:pPr>
      <w:tabs>
        <w:tab w:val="left" w:pos="340"/>
      </w:tabs>
      <w:spacing w:before="60" w:after="60"/>
      <w:ind w:left="340" w:hanging="340"/>
    </w:pPr>
  </w:style>
  <w:style w:type="paragraph" w:customStyle="1" w:styleId="Note">
    <w:name w:val="Note"/>
    <w:basedOn w:val="BodyText"/>
    <w:rsid w:val="00F50A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0AC5"/>
    <w:pPr>
      <w:framePr w:wrap="auto" w:hAnchor="text" w:y="6049"/>
    </w:pPr>
    <w:rPr>
      <w:color w:val="000000"/>
      <w:sz w:val="40"/>
    </w:rPr>
  </w:style>
  <w:style w:type="paragraph" w:customStyle="1" w:styleId="TOCTitle">
    <w:name w:val="TOCTitle"/>
    <w:basedOn w:val="Heading1"/>
    <w:rsid w:val="00F50AC5"/>
    <w:pPr>
      <w:spacing w:after="240"/>
      <w:jc w:val="center"/>
      <w:outlineLvl w:val="9"/>
    </w:pPr>
    <w:rPr>
      <w:caps/>
    </w:rPr>
  </w:style>
  <w:style w:type="paragraph" w:customStyle="1" w:styleId="Version">
    <w:name w:val="Version"/>
    <w:rsid w:val="00F50A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0AC5"/>
    <w:pPr>
      <w:keepNext w:val="0"/>
      <w:tabs>
        <w:tab w:val="right" w:pos="4176"/>
      </w:tabs>
      <w:ind w:left="198" w:hanging="198"/>
    </w:pPr>
    <w:rPr>
      <w:rFonts w:ascii="Garamond" w:hAnsi="Garamond"/>
    </w:rPr>
  </w:style>
  <w:style w:type="paragraph" w:styleId="IndexHeading">
    <w:name w:val="index heading"/>
    <w:basedOn w:val="Normal"/>
    <w:next w:val="Index1"/>
    <w:semiHidden/>
    <w:rsid w:val="00F50AC5"/>
    <w:pPr>
      <w:spacing w:before="120" w:after="120"/>
    </w:pPr>
    <w:rPr>
      <w:rFonts w:ascii="Arial" w:hAnsi="Arial"/>
      <w:b/>
      <w:color w:val="918585"/>
      <w:sz w:val="24"/>
    </w:rPr>
  </w:style>
  <w:style w:type="paragraph" w:styleId="Header">
    <w:name w:val="header"/>
    <w:basedOn w:val="Normal"/>
    <w:link w:val="HeaderChar"/>
    <w:rsid w:val="00F50A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0AC5"/>
    <w:rPr>
      <w:rFonts w:ascii="Times New Roman" w:eastAsia="Times New Roman" w:hAnsi="Times New Roman" w:cs="Times New Roman"/>
      <w:sz w:val="16"/>
      <w:szCs w:val="20"/>
      <w:lang w:val="en-GB" w:eastAsia="en-US"/>
    </w:rPr>
  </w:style>
  <w:style w:type="paragraph" w:customStyle="1" w:styleId="Chapter">
    <w:name w:val="Chapter"/>
    <w:basedOn w:val="Normal"/>
    <w:rsid w:val="00F50AC5"/>
    <w:pPr>
      <w:spacing w:before="240"/>
    </w:pPr>
    <w:rPr>
      <w:rFonts w:ascii="Times New Roman" w:hAnsi="Times New Roman"/>
      <w:smallCaps/>
      <w:spacing w:val="80"/>
      <w:sz w:val="28"/>
    </w:rPr>
  </w:style>
  <w:style w:type="paragraph" w:customStyle="1" w:styleId="InChapter">
    <w:name w:val="InChapter"/>
    <w:basedOn w:val="Heading3"/>
    <w:rsid w:val="00F50AC5"/>
    <w:pPr>
      <w:spacing w:after="240"/>
      <w:outlineLvl w:val="9"/>
    </w:pPr>
    <w:rPr>
      <w:noProof/>
    </w:rPr>
  </w:style>
  <w:style w:type="paragraph" w:styleId="Index2">
    <w:name w:val="index 2"/>
    <w:basedOn w:val="Normal"/>
    <w:next w:val="Normal"/>
    <w:semiHidden/>
    <w:rsid w:val="00F50AC5"/>
    <w:pPr>
      <w:tabs>
        <w:tab w:val="right" w:pos="4176"/>
      </w:tabs>
      <w:ind w:left="568" w:hanging="284"/>
    </w:pPr>
    <w:rPr>
      <w:rFonts w:ascii="Garamond" w:hAnsi="Garamond"/>
    </w:rPr>
  </w:style>
  <w:style w:type="paragraph" w:customStyle="1" w:styleId="Byline">
    <w:name w:val="Byline"/>
    <w:rsid w:val="00F50A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0AC5"/>
    <w:pPr>
      <w:tabs>
        <w:tab w:val="clear" w:pos="3600"/>
        <w:tab w:val="clear" w:pos="3958"/>
      </w:tabs>
      <w:jc w:val="right"/>
    </w:pPr>
  </w:style>
  <w:style w:type="character" w:styleId="Emphasis">
    <w:name w:val="Emphasis"/>
    <w:basedOn w:val="DefaultParagraphFont"/>
    <w:qFormat/>
    <w:rsid w:val="00F50AC5"/>
    <w:rPr>
      <w:i/>
    </w:rPr>
  </w:style>
  <w:style w:type="paragraph" w:styleId="Caption">
    <w:name w:val="caption"/>
    <w:basedOn w:val="BodyText"/>
    <w:next w:val="Normal"/>
    <w:qFormat/>
    <w:rsid w:val="00F50AC5"/>
    <w:pPr>
      <w:framePr w:w="2268" w:hSpace="181" w:vSpace="181" w:wrap="around" w:vAnchor="text" w:hAnchor="page" w:x="1135" w:y="285" w:anchorLock="1"/>
    </w:pPr>
    <w:rPr>
      <w:i/>
    </w:rPr>
  </w:style>
  <w:style w:type="paragraph" w:customStyle="1" w:styleId="MiniTOCTitle">
    <w:name w:val="MiniTOCTitle"/>
    <w:basedOn w:val="Heading4"/>
    <w:rsid w:val="00F50AC5"/>
    <w:pPr>
      <w:spacing w:before="240"/>
      <w:outlineLvl w:val="9"/>
    </w:pPr>
    <w:rPr>
      <w:noProof/>
      <w:sz w:val="24"/>
    </w:rPr>
  </w:style>
  <w:style w:type="paragraph" w:customStyle="1" w:styleId="MiniTOCItem">
    <w:name w:val="MiniTOCItem"/>
    <w:basedOn w:val="ListBullet"/>
    <w:rsid w:val="00F50AC5"/>
    <w:pPr>
      <w:numPr>
        <w:numId w:val="0"/>
      </w:numPr>
      <w:tabs>
        <w:tab w:val="right" w:leader="dot" w:pos="6521"/>
      </w:tabs>
      <w:spacing w:before="0" w:after="0"/>
    </w:pPr>
  </w:style>
  <w:style w:type="paragraph" w:customStyle="1" w:styleId="TOFTitle">
    <w:name w:val="TOFTitle"/>
    <w:basedOn w:val="TOCTitle"/>
    <w:rsid w:val="00F50AC5"/>
  </w:style>
  <w:style w:type="paragraph" w:styleId="TableofFigures">
    <w:name w:val="table of figures"/>
    <w:basedOn w:val="Normal"/>
    <w:next w:val="Normal"/>
    <w:semiHidden/>
    <w:rsid w:val="00F50AC5"/>
    <w:pPr>
      <w:tabs>
        <w:tab w:val="right" w:leader="dot" w:pos="9072"/>
      </w:tabs>
      <w:ind w:left="970" w:hanging="403"/>
    </w:pPr>
    <w:rPr>
      <w:rFonts w:ascii="Times New Roman" w:hAnsi="Times New Roman"/>
      <w:b/>
    </w:rPr>
  </w:style>
  <w:style w:type="paragraph" w:styleId="ListNumber">
    <w:name w:val="List Number"/>
    <w:basedOn w:val="List"/>
    <w:rsid w:val="00F50AC5"/>
    <w:pPr>
      <w:numPr>
        <w:numId w:val="16"/>
      </w:numPr>
      <w:tabs>
        <w:tab w:val="clear" w:pos="340"/>
      </w:tabs>
    </w:pPr>
  </w:style>
  <w:style w:type="character" w:customStyle="1" w:styleId="WingdingSymbols">
    <w:name w:val="Wingding Symbols"/>
    <w:rsid w:val="00F50AC5"/>
    <w:rPr>
      <w:rFonts w:ascii="Wingdings" w:hAnsi="Wingdings"/>
    </w:rPr>
  </w:style>
  <w:style w:type="paragraph" w:customStyle="1" w:styleId="TableHeading">
    <w:name w:val="Table Heading"/>
    <w:basedOn w:val="HeadingBase"/>
    <w:rsid w:val="00F50AC5"/>
    <w:pPr>
      <w:keepLines/>
      <w:pBdr>
        <w:bottom w:val="single" w:sz="6" w:space="1" w:color="918585"/>
      </w:pBdr>
      <w:spacing w:before="240"/>
    </w:pPr>
  </w:style>
  <w:style w:type="character" w:customStyle="1" w:styleId="HotSpot">
    <w:name w:val="HotSpot"/>
    <w:rsid w:val="00F50AC5"/>
    <w:rPr>
      <w:color w:val="0033CC"/>
      <w:u w:val="none"/>
    </w:rPr>
  </w:style>
  <w:style w:type="paragraph" w:customStyle="1" w:styleId="BodyTextRight">
    <w:name w:val="Body Text Right"/>
    <w:basedOn w:val="BodyText"/>
    <w:rsid w:val="00F50AC5"/>
    <w:pPr>
      <w:spacing w:before="0" w:after="0"/>
      <w:jc w:val="right"/>
    </w:pPr>
  </w:style>
  <w:style w:type="paragraph" w:styleId="Index3">
    <w:name w:val="index 3"/>
    <w:basedOn w:val="ListNumber2"/>
    <w:next w:val="Normal"/>
    <w:semiHidden/>
    <w:rsid w:val="00F50AC5"/>
    <w:pPr>
      <w:numPr>
        <w:numId w:val="0"/>
      </w:numPr>
      <w:tabs>
        <w:tab w:val="right" w:leader="dot" w:pos="4176"/>
      </w:tabs>
    </w:pPr>
  </w:style>
  <w:style w:type="paragraph" w:styleId="ListNumber2">
    <w:name w:val="List Number 2"/>
    <w:basedOn w:val="List2"/>
    <w:rsid w:val="00F50AC5"/>
    <w:pPr>
      <w:numPr>
        <w:numId w:val="11"/>
      </w:numPr>
      <w:tabs>
        <w:tab w:val="clear" w:pos="1060"/>
      </w:tabs>
    </w:pPr>
  </w:style>
  <w:style w:type="paragraph" w:customStyle="1" w:styleId="MarginNote">
    <w:name w:val="Margin Note"/>
    <w:basedOn w:val="BodyText"/>
    <w:rsid w:val="00F50A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0A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0A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0AC5"/>
    <w:rPr>
      <w:sz w:val="32"/>
    </w:rPr>
  </w:style>
  <w:style w:type="paragraph" w:customStyle="1" w:styleId="HeadingProcedure">
    <w:name w:val="Heading Procedure"/>
    <w:basedOn w:val="HeadingBase"/>
    <w:next w:val="Normal"/>
    <w:rsid w:val="00F50AC5"/>
    <w:pPr>
      <w:tabs>
        <w:tab w:val="left" w:pos="0"/>
      </w:tabs>
      <w:spacing w:before="120" w:after="60"/>
    </w:pPr>
    <w:rPr>
      <w:i/>
      <w:color w:val="918585"/>
      <w:sz w:val="22"/>
    </w:rPr>
  </w:style>
  <w:style w:type="paragraph" w:customStyle="1" w:styleId="TableBodyText">
    <w:name w:val="Table Body Text"/>
    <w:basedOn w:val="BodyText"/>
    <w:rsid w:val="00F50AC5"/>
    <w:pPr>
      <w:spacing w:before="60" w:after="60"/>
    </w:pPr>
  </w:style>
  <w:style w:type="paragraph" w:styleId="ListContinue">
    <w:name w:val="List Continue"/>
    <w:basedOn w:val="List"/>
    <w:rsid w:val="00F50AC5"/>
    <w:pPr>
      <w:ind w:firstLine="0"/>
    </w:pPr>
  </w:style>
  <w:style w:type="paragraph" w:customStyle="1" w:styleId="ListNote">
    <w:name w:val="List Note"/>
    <w:basedOn w:val="List"/>
    <w:rsid w:val="00F50AC5"/>
    <w:pPr>
      <w:pBdr>
        <w:top w:val="single" w:sz="6" w:space="2" w:color="918585"/>
        <w:bottom w:val="single" w:sz="6" w:space="2" w:color="918585"/>
      </w:pBdr>
      <w:tabs>
        <w:tab w:val="left" w:pos="1021"/>
      </w:tabs>
      <w:ind w:firstLine="0"/>
    </w:pPr>
  </w:style>
  <w:style w:type="paragraph" w:customStyle="1" w:styleId="Warning">
    <w:name w:val="Warning"/>
    <w:basedOn w:val="BodyText"/>
    <w:rsid w:val="00F50AC5"/>
    <w:pPr>
      <w:shd w:val="clear" w:color="auto" w:fill="D9D9D9"/>
      <w:tabs>
        <w:tab w:val="left" w:pos="992"/>
      </w:tabs>
      <w:ind w:left="119" w:right="119"/>
    </w:pPr>
    <w:rPr>
      <w:sz w:val="20"/>
    </w:rPr>
  </w:style>
  <w:style w:type="paragraph" w:customStyle="1" w:styleId="MarginIcons">
    <w:name w:val="Margin Icons"/>
    <w:basedOn w:val="BodyText"/>
    <w:rsid w:val="00F50A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0AC5"/>
    <w:rPr>
      <w:rFonts w:ascii="Courier New" w:hAnsi="Courier New"/>
    </w:rPr>
  </w:style>
  <w:style w:type="paragraph" w:customStyle="1" w:styleId="NoteBullet">
    <w:name w:val="Note Bullet"/>
    <w:basedOn w:val="Note"/>
    <w:rsid w:val="00F50AC5"/>
    <w:pPr>
      <w:tabs>
        <w:tab w:val="clear" w:pos="680"/>
      </w:tabs>
      <w:spacing w:before="60" w:after="60"/>
    </w:pPr>
  </w:style>
  <w:style w:type="paragraph" w:customStyle="1" w:styleId="SubHeading2">
    <w:name w:val="SubHeading2"/>
    <w:basedOn w:val="HeadingBase"/>
    <w:rsid w:val="00F50AC5"/>
    <w:pPr>
      <w:spacing w:before="240" w:after="60"/>
    </w:pPr>
    <w:rPr>
      <w:sz w:val="20"/>
    </w:rPr>
  </w:style>
  <w:style w:type="paragraph" w:customStyle="1" w:styleId="SubHeading1">
    <w:name w:val="SubHeading1"/>
    <w:basedOn w:val="HeadingBase"/>
    <w:rsid w:val="00F50AC5"/>
    <w:pPr>
      <w:spacing w:before="240" w:after="60"/>
    </w:pPr>
    <w:rPr>
      <w:color w:val="918585"/>
      <w:sz w:val="22"/>
    </w:rPr>
  </w:style>
  <w:style w:type="paragraph" w:customStyle="1" w:styleId="SideHeading">
    <w:name w:val="Side Heading"/>
    <w:basedOn w:val="HeadingBase"/>
    <w:rsid w:val="00F50A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0AC5"/>
    <w:pPr>
      <w:numPr>
        <w:numId w:val="12"/>
      </w:numPr>
    </w:pPr>
  </w:style>
  <w:style w:type="paragraph" w:styleId="PlainText">
    <w:name w:val="Plain Text"/>
    <w:basedOn w:val="Normal"/>
    <w:link w:val="PlainTextChar"/>
    <w:rsid w:val="00F50AC5"/>
    <w:rPr>
      <w:sz w:val="20"/>
    </w:rPr>
  </w:style>
  <w:style w:type="character" w:customStyle="1" w:styleId="PlainTextChar">
    <w:name w:val="Plain Text Char"/>
    <w:basedOn w:val="DefaultParagraphFont"/>
    <w:link w:val="PlainText"/>
    <w:rsid w:val="00F50AC5"/>
    <w:rPr>
      <w:rFonts w:ascii="Courier New" w:eastAsia="Times New Roman" w:hAnsi="Courier New" w:cs="Times New Roman"/>
      <w:sz w:val="20"/>
      <w:szCs w:val="20"/>
      <w:lang w:eastAsia="en-US"/>
    </w:rPr>
  </w:style>
  <w:style w:type="character" w:customStyle="1" w:styleId="MenuOption">
    <w:name w:val="Menu Option"/>
    <w:basedOn w:val="DefaultParagraphFont"/>
    <w:rsid w:val="00F50AC5"/>
    <w:rPr>
      <w:b/>
      <w:smallCaps/>
    </w:rPr>
  </w:style>
  <w:style w:type="paragraph" w:customStyle="1" w:styleId="TableListNumber">
    <w:name w:val="Table List Number"/>
    <w:basedOn w:val="ListNumber"/>
    <w:rsid w:val="00F50AC5"/>
    <w:pPr>
      <w:numPr>
        <w:numId w:val="0"/>
      </w:numPr>
    </w:pPr>
  </w:style>
  <w:style w:type="paragraph" w:styleId="TOC4">
    <w:name w:val="toc 4"/>
    <w:basedOn w:val="TOCBase"/>
    <w:next w:val="Normal"/>
    <w:semiHidden/>
    <w:rsid w:val="00F50AC5"/>
    <w:pPr>
      <w:tabs>
        <w:tab w:val="right" w:leader="dot" w:pos="9071"/>
      </w:tabs>
      <w:ind w:left="1701"/>
    </w:pPr>
  </w:style>
  <w:style w:type="paragraph" w:customStyle="1" w:styleId="ListAlpha">
    <w:name w:val="List Alpha"/>
    <w:basedOn w:val="List"/>
    <w:rsid w:val="00F50AC5"/>
    <w:pPr>
      <w:numPr>
        <w:numId w:val="10"/>
      </w:numPr>
    </w:pPr>
  </w:style>
  <w:style w:type="paragraph" w:customStyle="1" w:styleId="ListAlpha2">
    <w:name w:val="List Alpha 2"/>
    <w:basedOn w:val="List2"/>
    <w:rsid w:val="00F50AC5"/>
    <w:pPr>
      <w:numPr>
        <w:numId w:val="9"/>
      </w:numPr>
    </w:pPr>
  </w:style>
  <w:style w:type="paragraph" w:styleId="List2">
    <w:name w:val="List 2"/>
    <w:basedOn w:val="BodyText"/>
    <w:rsid w:val="00F50AC5"/>
    <w:pPr>
      <w:tabs>
        <w:tab w:val="left" w:pos="680"/>
      </w:tabs>
      <w:spacing w:before="60" w:after="60"/>
      <w:ind w:left="680" w:hanging="340"/>
    </w:pPr>
  </w:style>
  <w:style w:type="paragraph" w:styleId="List3">
    <w:name w:val="List 3"/>
    <w:basedOn w:val="BodyText"/>
    <w:rsid w:val="00F50AC5"/>
    <w:pPr>
      <w:tabs>
        <w:tab w:val="left" w:pos="1021"/>
      </w:tabs>
      <w:spacing w:before="60" w:after="60"/>
      <w:ind w:left="1020" w:hanging="340"/>
    </w:pPr>
  </w:style>
  <w:style w:type="paragraph" w:styleId="List4">
    <w:name w:val="List 4"/>
    <w:basedOn w:val="BodyText"/>
    <w:rsid w:val="00F50AC5"/>
    <w:pPr>
      <w:tabs>
        <w:tab w:val="left" w:pos="1361"/>
      </w:tabs>
      <w:spacing w:before="60" w:after="60"/>
      <w:ind w:left="1361" w:hanging="340"/>
    </w:pPr>
  </w:style>
  <w:style w:type="paragraph" w:styleId="List5">
    <w:name w:val="List 5"/>
    <w:basedOn w:val="BodyText"/>
    <w:rsid w:val="00F50AC5"/>
    <w:pPr>
      <w:tabs>
        <w:tab w:val="left" w:pos="1701"/>
      </w:tabs>
      <w:spacing w:before="60" w:after="60"/>
      <w:ind w:left="1701" w:hanging="340"/>
    </w:pPr>
  </w:style>
  <w:style w:type="paragraph" w:styleId="ListBullet4">
    <w:name w:val="List Bullet 4"/>
    <w:basedOn w:val="List4"/>
    <w:rsid w:val="00F50AC5"/>
    <w:pPr>
      <w:numPr>
        <w:numId w:val="4"/>
      </w:numPr>
      <w:tabs>
        <w:tab w:val="clear" w:pos="1361"/>
      </w:tabs>
    </w:pPr>
  </w:style>
  <w:style w:type="paragraph" w:styleId="ListBullet5">
    <w:name w:val="List Bullet 5"/>
    <w:basedOn w:val="List5"/>
    <w:rsid w:val="00F50AC5"/>
    <w:pPr>
      <w:numPr>
        <w:numId w:val="5"/>
      </w:numPr>
    </w:pPr>
  </w:style>
  <w:style w:type="paragraph" w:styleId="ListContinue2">
    <w:name w:val="List Continue 2"/>
    <w:basedOn w:val="List2"/>
    <w:rsid w:val="00F50AC5"/>
    <w:pPr>
      <w:ind w:firstLine="0"/>
    </w:pPr>
  </w:style>
  <w:style w:type="paragraph" w:styleId="ListContinue3">
    <w:name w:val="List Continue 3"/>
    <w:basedOn w:val="List3"/>
    <w:rsid w:val="00F50AC5"/>
    <w:pPr>
      <w:ind w:left="1021" w:firstLine="0"/>
    </w:pPr>
  </w:style>
  <w:style w:type="paragraph" w:styleId="ListContinue4">
    <w:name w:val="List Continue 4"/>
    <w:basedOn w:val="List4"/>
    <w:rsid w:val="00F50AC5"/>
    <w:pPr>
      <w:ind w:firstLine="0"/>
    </w:pPr>
  </w:style>
  <w:style w:type="paragraph" w:styleId="ListContinue5">
    <w:name w:val="List Continue 5"/>
    <w:basedOn w:val="List5"/>
    <w:rsid w:val="00F50AC5"/>
    <w:pPr>
      <w:ind w:firstLine="0"/>
    </w:pPr>
  </w:style>
  <w:style w:type="paragraph" w:styleId="ListNumber3">
    <w:name w:val="List Number 3"/>
    <w:basedOn w:val="List3"/>
    <w:rsid w:val="00F50AC5"/>
    <w:pPr>
      <w:numPr>
        <w:numId w:val="6"/>
      </w:numPr>
    </w:pPr>
  </w:style>
  <w:style w:type="paragraph" w:styleId="ListNumber4">
    <w:name w:val="List Number 4"/>
    <w:basedOn w:val="List4"/>
    <w:rsid w:val="00F50AC5"/>
    <w:pPr>
      <w:numPr>
        <w:numId w:val="7"/>
      </w:numPr>
    </w:pPr>
  </w:style>
  <w:style w:type="paragraph" w:styleId="ListNumber5">
    <w:name w:val="List Number 5"/>
    <w:basedOn w:val="List5"/>
    <w:rsid w:val="00F50AC5"/>
    <w:pPr>
      <w:numPr>
        <w:numId w:val="8"/>
      </w:numPr>
    </w:pPr>
  </w:style>
  <w:style w:type="paragraph" w:styleId="BlockText">
    <w:name w:val="Block Text"/>
    <w:basedOn w:val="Normal"/>
    <w:rsid w:val="00F50AC5"/>
    <w:pPr>
      <w:spacing w:after="120"/>
      <w:ind w:left="1440" w:right="1440"/>
    </w:pPr>
  </w:style>
  <w:style w:type="character" w:customStyle="1" w:styleId="Subscript">
    <w:name w:val="Subscript"/>
    <w:basedOn w:val="DefaultParagraphFont"/>
    <w:rsid w:val="00F50AC5"/>
    <w:rPr>
      <w:sz w:val="16"/>
      <w:vertAlign w:val="subscript"/>
    </w:rPr>
  </w:style>
  <w:style w:type="character" w:customStyle="1" w:styleId="Superscript">
    <w:name w:val="Superscript"/>
    <w:basedOn w:val="DefaultParagraphFont"/>
    <w:rsid w:val="00F50AC5"/>
    <w:rPr>
      <w:sz w:val="16"/>
      <w:vertAlign w:val="superscript"/>
    </w:rPr>
  </w:style>
  <w:style w:type="character" w:customStyle="1" w:styleId="Symbols">
    <w:name w:val="Symbols"/>
    <w:basedOn w:val="DefaultParagraphFont"/>
    <w:rsid w:val="00F50AC5"/>
    <w:rPr>
      <w:rFonts w:ascii="Symbol" w:hAnsi="Symbol"/>
    </w:rPr>
  </w:style>
  <w:style w:type="character" w:customStyle="1" w:styleId="MenuOptions">
    <w:name w:val="Menu Options"/>
    <w:basedOn w:val="DefaultParagraphFont"/>
    <w:rsid w:val="00F50AC5"/>
    <w:rPr>
      <w:rFonts w:ascii="Arial Narrow" w:hAnsi="Arial Narrow"/>
      <w:smallCaps/>
    </w:rPr>
  </w:style>
  <w:style w:type="character" w:customStyle="1" w:styleId="Buttons">
    <w:name w:val="Buttons"/>
    <w:basedOn w:val="DefaultParagraphFont"/>
    <w:rsid w:val="00F50AC5"/>
    <w:rPr>
      <w:b/>
    </w:rPr>
  </w:style>
  <w:style w:type="character" w:customStyle="1" w:styleId="Underlined">
    <w:name w:val="Underlined"/>
    <w:basedOn w:val="DefaultParagraphFont"/>
    <w:rsid w:val="00F50AC5"/>
    <w:rPr>
      <w:u w:val="single"/>
    </w:rPr>
  </w:style>
  <w:style w:type="paragraph" w:customStyle="1" w:styleId="TableBodyTextRight">
    <w:name w:val="Table Body Text Right"/>
    <w:basedOn w:val="TableBodyText"/>
    <w:rsid w:val="00F50AC5"/>
    <w:pPr>
      <w:widowControl w:val="0"/>
      <w:autoSpaceDE w:val="0"/>
      <w:autoSpaceDN w:val="0"/>
      <w:adjustRightInd w:val="0"/>
      <w:jc w:val="right"/>
    </w:pPr>
    <w:rPr>
      <w:rFonts w:cs="Arial"/>
      <w:szCs w:val="18"/>
    </w:rPr>
  </w:style>
  <w:style w:type="paragraph" w:customStyle="1" w:styleId="CopyrightText">
    <w:name w:val="Copyright Text"/>
    <w:basedOn w:val="BodyText"/>
    <w:rsid w:val="00F50AC5"/>
    <w:rPr>
      <w:sz w:val="18"/>
    </w:rPr>
  </w:style>
  <w:style w:type="paragraph" w:customStyle="1" w:styleId="BodySmallRight">
    <w:name w:val="Body Small Right"/>
    <w:basedOn w:val="BodyTextRight"/>
    <w:rsid w:val="00F50AC5"/>
    <w:rPr>
      <w:sz w:val="18"/>
      <w:szCs w:val="18"/>
    </w:rPr>
  </w:style>
  <w:style w:type="paragraph" w:customStyle="1" w:styleId="MarginEdition">
    <w:name w:val="Margin Edition"/>
    <w:basedOn w:val="MarginNote"/>
    <w:rsid w:val="00F50AC5"/>
    <w:pPr>
      <w:spacing w:before="0" w:after="0"/>
    </w:pPr>
    <w:rPr>
      <w:rFonts w:ascii="Times New Roman" w:hAnsi="Times New Roman"/>
      <w:color w:val="999999"/>
    </w:rPr>
  </w:style>
  <w:style w:type="paragraph" w:customStyle="1" w:styleId="Spacer">
    <w:name w:val="Spacer"/>
    <w:basedOn w:val="Normal"/>
    <w:rsid w:val="00F50AC5"/>
    <w:rPr>
      <w:sz w:val="2"/>
      <w:szCs w:val="2"/>
    </w:rPr>
  </w:style>
  <w:style w:type="character" w:customStyle="1" w:styleId="Small">
    <w:name w:val="Small"/>
    <w:basedOn w:val="DefaultParagraphFont"/>
    <w:rsid w:val="00F50AC5"/>
    <w:rPr>
      <w:sz w:val="16"/>
    </w:rPr>
  </w:style>
  <w:style w:type="paragraph" w:customStyle="1" w:styleId="WideTable">
    <w:name w:val="Wide Table"/>
    <w:basedOn w:val="Normal"/>
    <w:rsid w:val="00F50AC5"/>
    <w:pPr>
      <w:ind w:left="-1418"/>
    </w:pPr>
    <w:rPr>
      <w:sz w:val="2"/>
      <w:szCs w:val="2"/>
    </w:rPr>
  </w:style>
  <w:style w:type="character" w:styleId="PageNumber">
    <w:name w:val="page number"/>
    <w:basedOn w:val="DefaultParagraphFont"/>
    <w:rsid w:val="00F50AC5"/>
  </w:style>
  <w:style w:type="paragraph" w:styleId="Quote">
    <w:name w:val="Quote"/>
    <w:basedOn w:val="Heading1"/>
    <w:link w:val="QuoteChar"/>
    <w:qFormat/>
    <w:rsid w:val="00F50AC5"/>
    <w:rPr>
      <w:b w:val="0"/>
      <w:sz w:val="72"/>
      <w:szCs w:val="72"/>
      <w:lang w:val="en-NZ"/>
    </w:rPr>
  </w:style>
  <w:style w:type="character" w:customStyle="1" w:styleId="QuoteChar">
    <w:name w:val="Quote Char"/>
    <w:basedOn w:val="DefaultParagraphFont"/>
    <w:link w:val="Quote"/>
    <w:rsid w:val="00F50A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0AC5"/>
    <w:pPr>
      <w:pageBreakBefore/>
    </w:pPr>
  </w:style>
  <w:style w:type="paragraph" w:customStyle="1" w:styleId="Border">
    <w:name w:val="Border"/>
    <w:basedOn w:val="Normal"/>
    <w:qFormat/>
    <w:rsid w:val="00F50A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0AC5"/>
    <w:rPr>
      <w:b/>
      <w:bCs/>
      <w:i/>
      <w:iCs/>
      <w:color w:val="auto"/>
    </w:rPr>
  </w:style>
  <w:style w:type="paragraph" w:styleId="IntenseQuote">
    <w:name w:val="Intense Quote"/>
    <w:basedOn w:val="Normal"/>
    <w:next w:val="Normal"/>
    <w:link w:val="IntenseQuoteChar"/>
    <w:uiPriority w:val="30"/>
    <w:qFormat/>
    <w:rsid w:val="00F50A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0A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0AC5"/>
    <w:rPr>
      <w:smallCaps/>
      <w:color w:val="auto"/>
      <w:u w:val="single"/>
    </w:rPr>
  </w:style>
  <w:style w:type="character" w:styleId="IntenseReference">
    <w:name w:val="Intense Reference"/>
    <w:basedOn w:val="DefaultParagraphFont"/>
    <w:uiPriority w:val="32"/>
    <w:qFormat/>
    <w:rsid w:val="00F50AC5"/>
    <w:rPr>
      <w:b/>
      <w:bCs/>
      <w:smallCaps/>
      <w:color w:val="auto"/>
      <w:spacing w:val="5"/>
      <w:u w:val="single"/>
    </w:rPr>
  </w:style>
  <w:style w:type="paragraph" w:customStyle="1" w:styleId="2ColumnHeading">
    <w:name w:val="2Column Heading"/>
    <w:basedOn w:val="BodyText"/>
    <w:qFormat/>
    <w:rsid w:val="00F50AC5"/>
    <w:pPr>
      <w:spacing w:after="60"/>
      <w:ind w:left="-2268"/>
    </w:pPr>
    <w:rPr>
      <w:b/>
    </w:rPr>
  </w:style>
  <w:style w:type="paragraph" w:customStyle="1" w:styleId="Heading1TOC">
    <w:name w:val="Heading1 TOC"/>
    <w:basedOn w:val="Normal"/>
    <w:qFormat/>
    <w:rsid w:val="00F50AC5"/>
    <w:pPr>
      <w:spacing w:before="240" w:after="120"/>
    </w:pPr>
    <w:rPr>
      <w:rFonts w:ascii="Times New Roman" w:hAnsi="Times New Roman"/>
      <w:b/>
      <w:sz w:val="32"/>
    </w:rPr>
  </w:style>
  <w:style w:type="paragraph" w:customStyle="1" w:styleId="Heading2TOC">
    <w:name w:val="Heading2 TOC"/>
    <w:basedOn w:val="Normal"/>
    <w:qFormat/>
    <w:rsid w:val="00F50AC5"/>
    <w:pPr>
      <w:spacing w:before="240" w:after="60"/>
    </w:pPr>
    <w:rPr>
      <w:rFonts w:ascii="Times New Roman" w:hAnsi="Times New Roman"/>
      <w:b/>
      <w:sz w:val="28"/>
    </w:rPr>
  </w:style>
  <w:style w:type="character" w:customStyle="1" w:styleId="Underline">
    <w:name w:val="Underline"/>
    <w:basedOn w:val="DefaultParagraphFont"/>
    <w:qFormat/>
    <w:rsid w:val="00F50AC5"/>
    <w:rPr>
      <w:u w:val="single"/>
    </w:rPr>
  </w:style>
  <w:style w:type="paragraph" w:styleId="BalloonText">
    <w:name w:val="Balloon Text"/>
    <w:basedOn w:val="Normal"/>
    <w:link w:val="BalloonTextChar"/>
    <w:rsid w:val="00F50AC5"/>
    <w:rPr>
      <w:rFonts w:ascii="Tahoma" w:hAnsi="Tahoma" w:cs="Tahoma"/>
      <w:sz w:val="16"/>
      <w:szCs w:val="16"/>
    </w:rPr>
  </w:style>
  <w:style w:type="character" w:customStyle="1" w:styleId="BalloonTextChar">
    <w:name w:val="Balloon Text Char"/>
    <w:basedOn w:val="DefaultParagraphFont"/>
    <w:link w:val="BalloonText"/>
    <w:rsid w:val="00F50A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0A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0A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0AC5"/>
    <w:rPr>
      <w:b/>
      <w:color w:val="660033"/>
      <w:spacing w:val="0"/>
    </w:rPr>
  </w:style>
  <w:style w:type="paragraph" w:customStyle="1" w:styleId="Nameditemlist">
    <w:name w:val="Named item list"/>
    <w:basedOn w:val="BodyText"/>
    <w:qFormat/>
    <w:rsid w:val="00F50AC5"/>
    <w:pPr>
      <w:tabs>
        <w:tab w:val="left" w:pos="2835"/>
      </w:tabs>
      <w:ind w:left="2835" w:hanging="2835"/>
    </w:pPr>
  </w:style>
  <w:style w:type="paragraph" w:customStyle="1" w:styleId="BodyTextnopadding">
    <w:name w:val="Body Text no padding"/>
    <w:basedOn w:val="BodyText"/>
    <w:qFormat/>
    <w:rsid w:val="00F50AC5"/>
    <w:pPr>
      <w:spacing w:before="0" w:after="0"/>
    </w:pPr>
  </w:style>
  <w:style w:type="paragraph" w:customStyle="1" w:styleId="BodyTextBold">
    <w:name w:val="Body Text Bold"/>
    <w:basedOn w:val="BodyText"/>
    <w:qFormat/>
    <w:rsid w:val="00F50AC5"/>
    <w:rPr>
      <w:b/>
    </w:rPr>
  </w:style>
  <w:style w:type="character" w:styleId="Hyperlink">
    <w:name w:val="Hyperlink"/>
    <w:basedOn w:val="DefaultParagraphFont"/>
    <w:uiPriority w:val="99"/>
    <w:unhideWhenUsed/>
    <w:rsid w:val="00ED0C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1192</Words>
  <Characters>8077</Characters>
  <Application>Microsoft Office Word</Application>
  <DocSecurity>0</DocSecurity>
  <Lines>323</Lines>
  <Paragraphs>178</Paragraphs>
  <ScaleCrop>false</ScaleCrop>
  <Company>Author-it Software Corporation Ltd.</Company>
  <LinksUpToDate>false</LinksUpToDate>
  <CharactersWithSpaces>9091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CPCCBS6014 Conduct and report on advanced and final inspections of residential buildings up to three storeys</dc:title>
  <dc:subject>Approved</dc:subject>
  <dc:creator>Artibus Innovation</dc:creator>
  <cp:keywords>Release: 1</cp:keywords>
  <dc:description>Review Date: 12 April 2008</dc:description>
  <cp:lastModifiedBy>HSD_TPCMSd.prod</cp:lastModifiedBy>
  <cp:revision>3</cp:revision>
  <dcterms:created xsi:type="dcterms:W3CDTF">2020-12-23T10:20:00Z</dcterms:created>
  <dcterms:modified xsi:type="dcterms:W3CDTF">2020-12-23T10:20:00Z</dcterms:modified>
</cp:coreProperties>
</file>