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770" w:rsidP="00981770">
      <w:pPr>
        <w:pStyle w:val="Title"/>
      </w:pPr>
      <w:r>
        <w:fldChar w:fldCharType="begin"/>
      </w:r>
      <w:r>
        <w:instrText xml:space="preserve"> TITLE   \* MERGEFORMAT </w:instrText>
      </w:r>
      <w:r>
        <w:fldChar w:fldCharType="separate"/>
      </w:r>
      <w:r>
        <w:t>CPCCBS6013 Conduct and report on initial construction inspections of commercial buildings up to three storeys</w:t>
      </w:r>
      <w:r>
        <w:fldChar w:fldCharType="end"/>
      </w:r>
    </w:p>
    <w:p w:rsidR="00981770" w:rsidP="00981770">
      <w:pPr>
        <w:pStyle w:val="Version"/>
        <w:sectPr w:rsidSect="00001C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1CBF" w:rsidP="00001CBF">
      <w:pPr>
        <w:pStyle w:val="SuperHeading"/>
      </w:pPr>
      <w:r w:rsidRPr="00001CBF">
        <w:t>CPCCBS6013 Conduct and report on initial construction inspections of commercial buildings up to three storeys</w:t>
      </w:r>
    </w:p>
    <w:p w:rsidR="00000000" w:rsidRPr="00001CBF" w:rsidP="00001CBF">
      <w:pPr>
        <w:pStyle w:val="Heading1"/>
      </w:pPr>
      <w:bookmarkStart w:id="1" w:name="O_867799"/>
      <w:bookmarkEnd w:id="1"/>
      <w:r w:rsidRPr="00001CBF">
        <w:t>Modification History</w:t>
      </w:r>
    </w:p>
    <w:tbl>
      <w:tblPr>
        <w:tblW w:w="9242" w:type="dxa"/>
        <w:tblLayout w:type="fixed"/>
        <w:tblCellMar>
          <w:left w:w="62" w:type="dxa"/>
          <w:right w:w="62" w:type="dxa"/>
        </w:tblCellMar>
        <w:tblLook w:val="0000"/>
      </w:tblPr>
      <w:tblGrid>
        <w:gridCol w:w="1059"/>
        <w:gridCol w:w="8183"/>
      </w:tblGrid>
      <w:tr w:rsidTr="00001CBF">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001CBF" w:rsidP="00001CBF">
            <w:pPr>
              <w:pStyle w:val="BodyText"/>
            </w:pPr>
            <w:r w:rsidRPr="00001CBF">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SpecialBold"/>
              </w:rPr>
              <w:t>Comments</w:t>
            </w:r>
          </w:p>
        </w:tc>
      </w:tr>
      <w:tr w:rsidTr="00001CBF">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1.1</w:t>
            </w:r>
          </w:p>
        </w:tc>
        <w:tc>
          <w:tcPr>
            <w:tcW w:w="8183" w:type="dxa"/>
            <w:tcBorders>
              <w:top w:val="nil"/>
              <w:left w:val="nil"/>
              <w:bottom w:val="nil"/>
              <w:right w:val="nil"/>
            </w:tcBorders>
            <w:tcMar>
              <w:top w:w="0" w:type="dxa"/>
              <w:left w:w="62" w:type="dxa"/>
              <w:bottom w:w="0" w:type="dxa"/>
              <w:right w:w="62" w:type="dxa"/>
            </w:tcMar>
          </w:tcPr>
          <w:p w:rsidR="00000000" w:rsidRPr="00001CBF" w:rsidP="00001CBF">
            <w:pPr>
              <w:pStyle w:val="BodyText"/>
            </w:pPr>
            <w:r w:rsidRPr="00001CBF">
              <w:t>Replaces superseded equivalent CPCCBS6013 Conduct and report on initial construction inspections of commercial buildings up to three storeys.</w:t>
            </w:r>
          </w:p>
          <w:p w:rsidR="00000000" w:rsidRPr="00001CBF" w:rsidP="00001CBF">
            <w:pPr>
              <w:pStyle w:val="BodyText"/>
            </w:pPr>
            <w:r w:rsidRPr="00001CBF">
              <w:t>This version first released with CPC Construction, Plumbing and Services Training Package Version 1.1.</w:t>
            </w:r>
          </w:p>
          <w:p w:rsidR="00000000" w:rsidP="00001CBF">
            <w:pPr>
              <w:pStyle w:val="BodyText"/>
              <w:rPr>
                <w:lang w:val="en-NZ"/>
              </w:rPr>
            </w:pPr>
          </w:p>
        </w:tc>
      </w:tr>
      <w:tr w:rsidTr="00001CBF">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1</w:t>
            </w:r>
          </w:p>
        </w:tc>
        <w:tc>
          <w:tcPr>
            <w:tcW w:w="8183" w:type="dxa"/>
            <w:tcBorders>
              <w:top w:val="nil"/>
              <w:left w:val="nil"/>
              <w:bottom w:val="nil"/>
              <w:right w:val="nil"/>
            </w:tcBorders>
            <w:tcMar>
              <w:top w:w="0" w:type="dxa"/>
              <w:left w:w="62" w:type="dxa"/>
              <w:bottom w:w="0" w:type="dxa"/>
              <w:right w:w="62" w:type="dxa"/>
            </w:tcMar>
          </w:tcPr>
          <w:p w:rsidR="00000000" w:rsidRPr="00001CBF" w:rsidP="00001CBF">
            <w:pPr>
              <w:pStyle w:val="BodyText"/>
            </w:pPr>
            <w:r w:rsidRPr="00001CBF">
              <w:t>New uni</w:t>
            </w:r>
            <w:r w:rsidRPr="00001CBF">
              <w:t>t of competency.</w:t>
            </w:r>
          </w:p>
          <w:p w:rsidR="00000000" w:rsidRPr="00001CBF" w:rsidP="00001CBF">
            <w:pPr>
              <w:pStyle w:val="BodyText"/>
            </w:pPr>
            <w:r w:rsidRPr="00001CBF">
              <w:t>This version first released with CPC Construction, Plumbing and Services Training Package Version 1.</w:t>
            </w:r>
          </w:p>
        </w:tc>
      </w:tr>
    </w:tbl>
    <w:p w:rsidR="00981770" w:rsidP="00001CBF">
      <w:pPr>
        <w:pStyle w:val="BodyText"/>
      </w:pPr>
    </w:p>
    <w:p w:rsidR="00981770" w:rsidP="00001CBF">
      <w:pPr>
        <w:pStyle w:val="BodyText"/>
      </w:pPr>
    </w:p>
    <w:p w:rsidR="00000000" w:rsidRPr="00001CBF" w:rsidP="00001CBF">
      <w:pPr>
        <w:pStyle w:val="Heading1"/>
      </w:pPr>
      <w:bookmarkStart w:id="2" w:name="O_867798"/>
      <w:bookmarkEnd w:id="2"/>
      <w:r w:rsidRPr="00001CBF">
        <w:t>Application</w:t>
      </w:r>
    </w:p>
    <w:p w:rsidR="00000000" w:rsidRPr="00001CBF" w:rsidP="00981770">
      <w:pPr>
        <w:pStyle w:val="BodyText"/>
      </w:pPr>
      <w:r w:rsidRPr="00001CBF">
        <w:t>This unit of competency specifies the outcomes required to inspect for compliance the site preparation, fo</w:t>
      </w:r>
      <w:r w:rsidRPr="00001CBF">
        <w:t xml:space="preserve">undations, footings and structural provisions of buildings included in classes 2 to 9, as defined in the Building Code of Australia (BCA), up to three storeys. </w:t>
      </w:r>
    </w:p>
    <w:p w:rsidR="00000000" w:rsidRPr="00001CBF" w:rsidP="00981770">
      <w:pPr>
        <w:pStyle w:val="BodyText"/>
      </w:pPr>
      <w:r w:rsidRPr="00001CBF">
        <w:t>The unit supports the work of private or municipal building surveyors or certifiers who conduc</w:t>
      </w:r>
      <w:r w:rsidRPr="00001CBF">
        <w:t xml:space="preserve">t mandated inspections of commercial buildings up to three storeys at the initial stages of construction. </w:t>
      </w:r>
    </w:p>
    <w:p w:rsidR="00000000" w:rsidRPr="00001CBF" w:rsidP="00981770">
      <w:pPr>
        <w:pStyle w:val="BodyText"/>
      </w:pPr>
      <w:r w:rsidRPr="00001CBF">
        <w:t xml:space="preserve">It applies to planning and conducting inspections, reporting on issues of non-compliance, and preparing certificates of compliance according to legislative and regulatory requirements. </w:t>
      </w:r>
    </w:p>
    <w:p w:rsidR="00000000" w:rsidRPr="00001CBF" w:rsidP="00981770">
      <w:pPr>
        <w:pStyle w:val="BodyText"/>
      </w:pPr>
      <w:r w:rsidRPr="00001CBF">
        <w:t>The certificate of compliance for each stage must be completed and pr</w:t>
      </w:r>
      <w:r w:rsidRPr="00001CBF">
        <w:t xml:space="preserve">ocessed before the next stage of construction may commence. </w:t>
      </w:r>
    </w:p>
    <w:p w:rsidR="00000000" w:rsidRPr="00001CBF" w:rsidP="00981770">
      <w:pPr>
        <w:pStyle w:val="BodyText"/>
      </w:pPr>
      <w:r w:rsidRPr="00001CBF">
        <w:t>The building surveyor or certifier must be satisfied that remedial work required in cases of non-compliance is understood by the building contractor and completed within required timeframes. Thi</w:t>
      </w:r>
      <w:r w:rsidRPr="00001CBF">
        <w:t xml:space="preserve">s involves developing and maintaining professional and cooperative relationships with building contractors throughout a highly regulated process. </w:t>
      </w:r>
    </w:p>
    <w:p w:rsidR="00000000" w:rsidRPr="00001CBF" w:rsidP="00981770">
      <w:pPr>
        <w:pStyle w:val="BodyText"/>
      </w:pPr>
      <w:r w:rsidRPr="00001CBF">
        <w:t>Licensing, legislative, regulatory or certification requirements apply to this unit in some States. Relevant</w:t>
      </w:r>
      <w:r w:rsidRPr="00001CBF">
        <w:t xml:space="preserve"> state and territory regulatory authorities should be consulted to confirm those requirements.</w:t>
      </w:r>
    </w:p>
    <w:p w:rsidR="00000000" w:rsidRPr="00001CBF" w:rsidP="00001CBF">
      <w:pPr>
        <w:pStyle w:val="Heading1"/>
      </w:pPr>
      <w:bookmarkStart w:id="3" w:name="O_867797"/>
      <w:bookmarkEnd w:id="3"/>
      <w:r w:rsidRPr="00001CBF">
        <w:t>Pre-requisite Unit</w:t>
      </w:r>
    </w:p>
    <w:p w:rsidR="00000000" w:rsidRPr="00001CBF" w:rsidP="00981770">
      <w:pPr>
        <w:pStyle w:val="BodyText"/>
      </w:pPr>
      <w:r w:rsidRPr="00001CBF">
        <w:t>Nil</w:t>
      </w:r>
    </w:p>
    <w:p w:rsidR="00000000" w:rsidRPr="00001CBF" w:rsidP="00001CBF">
      <w:pPr>
        <w:pStyle w:val="Heading1"/>
      </w:pPr>
      <w:bookmarkStart w:id="4" w:name="O_867796"/>
      <w:bookmarkEnd w:id="4"/>
      <w:r w:rsidRPr="00001CBF">
        <w:t>Competency Field</w:t>
      </w:r>
    </w:p>
    <w:p w:rsidR="00000000" w:rsidRPr="00001CBF" w:rsidP="00981770">
      <w:pPr>
        <w:pStyle w:val="BodyText"/>
      </w:pPr>
      <w:r w:rsidRPr="00001CBF">
        <w:t>Building surveying</w:t>
      </w:r>
    </w:p>
    <w:p w:rsidR="00000000" w:rsidRPr="00001CBF" w:rsidP="00001CBF">
      <w:pPr>
        <w:pStyle w:val="Heading1"/>
      </w:pPr>
      <w:bookmarkStart w:id="5" w:name="O_867795"/>
      <w:bookmarkEnd w:id="5"/>
      <w:r w:rsidRPr="00001CBF">
        <w:t>Unit Sector</w:t>
      </w:r>
    </w:p>
    <w:p w:rsidR="00000000" w:rsidRPr="00001CBF" w:rsidP="00981770">
      <w:pPr>
        <w:pStyle w:val="BodyText"/>
      </w:pPr>
      <w:r w:rsidRPr="00001CBF">
        <w:t>Construction</w:t>
      </w:r>
    </w:p>
    <w:p w:rsidR="00000000" w:rsidRPr="00001CBF" w:rsidP="00001CBF">
      <w:pPr>
        <w:pStyle w:val="Heading1"/>
      </w:pPr>
      <w:bookmarkStart w:id="6" w:name="O_867794"/>
      <w:bookmarkEnd w:id="6"/>
      <w:r w:rsidRPr="00001CBF">
        <w:t xml:space="preserve">Elements </w:t>
      </w:r>
      <w:r w:rsidRPr="00001CBF">
        <w:t>and Performance Criteria</w:t>
      </w:r>
    </w:p>
    <w:tbl>
      <w:tblPr>
        <w:tblW w:w="0" w:type="auto"/>
        <w:tblLayout w:type="fixed"/>
        <w:tblCellMar>
          <w:left w:w="62" w:type="dxa"/>
          <w:right w:w="62" w:type="dxa"/>
        </w:tblCellMar>
        <w:tblLook w:val="0000"/>
      </w:tblPr>
      <w:tblGrid>
        <w:gridCol w:w="540"/>
        <w:gridCol w:w="2100"/>
        <w:gridCol w:w="770"/>
        <w:gridCol w:w="5610"/>
      </w:tblGrid>
      <w:tr w:rsidTr="00001C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Performance criteria describe the performance needed to demonstrate achievement of the element. Where bold italicised text is used, further information is detailed in the range of conditio</w:t>
            </w:r>
            <w:r w:rsidRPr="00001CBF">
              <w:t>ns.</w:t>
            </w:r>
          </w:p>
        </w:tc>
      </w:tr>
      <w:tr w:rsidTr="00001CB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1.</w:t>
            </w:r>
          </w:p>
        </w:tc>
        <w:tc>
          <w:tcPr>
            <w:tcW w:w="210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Plan and prepare to inspect site preparation and foundations and footings.</w:t>
            </w:r>
          </w:p>
        </w:tc>
        <w:tc>
          <w:tcPr>
            <w:tcW w:w="770" w:type="dxa"/>
            <w:tcBorders>
              <w:top w:val="nil"/>
              <w:left w:val="nil"/>
              <w:bottom w:val="nil"/>
              <w:right w:val="nil"/>
            </w:tcBorders>
            <w:tcMar>
              <w:top w:w="0" w:type="dxa"/>
              <w:left w:w="62" w:type="dxa"/>
              <w:bottom w:w="0" w:type="dxa"/>
              <w:right w:w="62" w:type="dxa"/>
            </w:tcMar>
          </w:tcPr>
          <w:p w:rsidR="00000000" w:rsidRPr="00001CBF" w:rsidP="00001CBF">
            <w:pPr>
              <w:pStyle w:val="BodyText"/>
            </w:pPr>
            <w:r w:rsidRPr="00001CBF">
              <w:t>1.1.</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BoldandItalics"/>
              </w:rPr>
              <w:t>Site classification</w:t>
            </w:r>
            <w:r w:rsidRPr="00001CBF">
              <w:t xml:space="preserve"> is determined according to BCA definitions and </w:t>
            </w:r>
            <w:r w:rsidRPr="00001CBF">
              <w:rPr>
                <w:rStyle w:val="BoldandItalics"/>
              </w:rPr>
              <w:t>compliance requirements for site preparation, foundations and footings</w:t>
            </w:r>
            <w:r w:rsidRPr="00001CBF">
              <w:t xml:space="preserve"> are identified and interpreted.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1.2.</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Approved building design drawings and specifications are interpreted and variations from deemed-to-satisfy provisions for compliance are confirmed with senior personnel or statutory authority.</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1.3.</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Inspection is scheduled according to project and legislative and regulatory requirements, and stakeholders are notified as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1.4.</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Missed inspections are recorded and reported according to legislative and regulatory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1.5.</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Work hea</w:t>
            </w:r>
            <w:r w:rsidRPr="00001CBF">
              <w:t>lth and safety (WHS) requirements for inspections of site preparations, foundations and footings are identified.</w:t>
            </w:r>
          </w:p>
        </w:tc>
      </w:tr>
      <w:tr w:rsidTr="00001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01CB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w:t>
            </w:r>
          </w:p>
        </w:tc>
        <w:tc>
          <w:tcPr>
            <w:tcW w:w="210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Inspect and report on site preparation, foundations and footings.</w:t>
            </w: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2.1.</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Site preparation, foundations and footings are surveyed according to project, statutory and WHS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2.2.</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Features of site preparation, foundations and footings are assessed against compliance requirements, approved drawings, and discussed with</w:t>
            </w:r>
            <w:r w:rsidRPr="00001CBF">
              <w:t xml:space="preserve"> on-site personnel as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2.3.</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Inspections undertaken to ensure compliance with waterproofing are validated and documented.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2.4.</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Details of non-compliant features are documented and reported according to workplace procedures and legislative and regulatory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2.5.</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Non-compliant features are discussed with relevant contractors and work required to remedy non-compliance i</w:t>
            </w:r>
            <w:r w:rsidRPr="00001CBF">
              <w:t>s negotiated according to scope of personal responsibilities.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2.6.</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Timeframe for remedial action and rescheduled inspection is negotiated according to scope of personal responsibilities, and contractor’s failure to comply is reported according to legisl</w:t>
            </w:r>
            <w:r w:rsidRPr="00001CBF">
              <w:t>ative and regulatory requirements if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2.7.</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Certificate of compliance for foundations and footings is prepared and processed according to legislative and regulatory requirements and scope of personal responsibilities.</w:t>
            </w:r>
          </w:p>
        </w:tc>
      </w:tr>
      <w:tr w:rsidTr="00001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01CB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3.</w:t>
            </w:r>
          </w:p>
        </w:tc>
        <w:tc>
          <w:tcPr>
            <w:tcW w:w="210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Plan and prepare to inspect structural provisions.</w:t>
            </w: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3.1.</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 xml:space="preserve">Extreme weather events for the area are determined and </w:t>
            </w:r>
            <w:r w:rsidRPr="00001CBF">
              <w:rPr>
                <w:rStyle w:val="BoldandItalics"/>
              </w:rPr>
              <w:t>compliance requirements for structural provisions</w:t>
            </w:r>
            <w:r w:rsidRPr="00001CBF">
              <w:t xml:space="preserve"> are identified and interpreted.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3.2.</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Approved b</w:t>
            </w:r>
            <w:r w:rsidRPr="00001CBF">
              <w:t>uilding design drawings and specifications are interpreted and variations from deemed-to-satisfy provisions for compliance are confirmed with senior personnel or statutory authority.</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3.3.</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 xml:space="preserve">Inspection is scheduled according to project and legislative and </w:t>
            </w:r>
            <w:r w:rsidRPr="00001CBF">
              <w:t>regulatory requirements, and stakeholders are notified as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3.4.</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Missed inspections are recorded and reported according to legislative and regulatory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3.5.</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WHS requirements for inspections of structural provisions are identified.</w:t>
            </w:r>
          </w:p>
        </w:tc>
      </w:tr>
      <w:tr w:rsidTr="00001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01CB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4.</w:t>
            </w:r>
          </w:p>
        </w:tc>
        <w:tc>
          <w:tcPr>
            <w:tcW w:w="210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Inspect and report on structural provisions.</w:t>
            </w: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4.1.</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Structural provisions are inspected according to project, statutory and WHS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4.2.</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Features of structural provisions are assessed against compliance requirements and approved drawings, and discussed with on-site personnel as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4.3.</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 xml:space="preserve">Details of non-compliant features are documented and reported according to workplace procedures </w:t>
            </w:r>
            <w:r w:rsidRPr="00001CBF">
              <w:t>and legislative and regulatory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4.4.</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Non-compliant features of structural provisions are discussed with relevant contractors and work required to remedy non-compliance is negotiated according to scope of personal responsibilities.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4.5.</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Timeframe for remedial action and rescheduled inspection is negotiated according to scope of personal responsibilities, and contractor’s failure to comply is reported according to legislative and regulatory requirements if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4.6.</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 xml:space="preserve">Certificate of </w:t>
            </w:r>
            <w:r w:rsidRPr="00001CBF">
              <w:t>compliance for structural provisions is prepared and processed according to legislative and regulatory requirements and scope of personal responsibilities.</w:t>
            </w:r>
          </w:p>
        </w:tc>
      </w:tr>
      <w:tr w:rsidTr="00001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01CB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5.</w:t>
            </w:r>
          </w:p>
        </w:tc>
        <w:tc>
          <w:tcPr>
            <w:tcW w:w="210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Plan and prepare to inspect wet areas.</w:t>
            </w: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5.1.</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Wall and substrate construction methods and materials are identified.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1CBF" w:rsidP="00001CBF">
            <w:pPr>
              <w:pStyle w:val="BodyText"/>
            </w:pPr>
            <w:r w:rsidRPr="00001CBF">
              <w:t>5.2.</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BoldandItalics"/>
              </w:rPr>
              <w:t>Compliance requirements for waterproofing</w:t>
            </w:r>
            <w:r w:rsidRPr="00001CBF">
              <w:t xml:space="preserve"> are identified and interpreted.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5.3.</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Approved building design drawings and specifications are interpreted and variations from deemed-</w:t>
            </w:r>
            <w:r w:rsidRPr="00001CBF">
              <w:t>to-satisfy provisions for compliance are confirmed with senior personnel or statutory authority.</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5.4.</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Inspection is scheduled according to project and legislative and regulatory requirements, and stakeholders are notified as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5.5.</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Missed inspections are recorded and reported according to legislative and regulatory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5.6.</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WHS requirements for inspections of wet areas are identified.</w:t>
            </w:r>
          </w:p>
        </w:tc>
      </w:tr>
      <w:tr w:rsidTr="00001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01CBF">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6.</w:t>
            </w:r>
          </w:p>
        </w:tc>
        <w:tc>
          <w:tcPr>
            <w:tcW w:w="2100" w:type="dxa"/>
            <w:vMerge w:val="restart"/>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Inspect and report on wet areas.</w:t>
            </w: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6.1.</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Wet areas are inspected according to project, statutory and WHS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6.2.</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Waterproofing installation is assessed against manufacturer specifications, compliance requirements and approved drawings and discussed with on-site personnel as required</w:t>
            </w:r>
            <w:r w:rsidRPr="00001CBF">
              <w:t>.</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6.3.</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Details of non-compliant features are documented and reported according to workplace procedures and legislative and regulatory requirements.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6.4.</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Non-compliant features of wet areas are discussed with relevant contractors and work required to remedy non-compliance is negotiated according to scope of personal responsibilities.</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6.5.</w:t>
            </w:r>
          </w:p>
        </w:tc>
        <w:tc>
          <w:tcPr>
            <w:tcW w:w="561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Timeframe for remedial action and rescheduled inspection is negoti</w:t>
            </w:r>
            <w:r w:rsidRPr="00001CBF">
              <w:t>ated according to scope of personal responsibilities, and contractor’s failure to comply is reported according to legislative and regulatory requirements if required.</w:t>
            </w:r>
          </w:p>
        </w:tc>
      </w:tr>
      <w:tr w:rsidTr="00001CBF">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6.6.</w:t>
            </w:r>
          </w:p>
        </w:tc>
        <w:tc>
          <w:tcPr>
            <w:tcW w:w="5610" w:type="dxa"/>
            <w:tcBorders>
              <w:top w:val="nil"/>
              <w:left w:val="nil"/>
              <w:bottom w:val="nil"/>
              <w:right w:val="nil"/>
            </w:tcBorders>
            <w:tcMar>
              <w:top w:w="0" w:type="dxa"/>
              <w:left w:w="62" w:type="dxa"/>
              <w:bottom w:w="0" w:type="dxa"/>
              <w:right w:w="62" w:type="dxa"/>
            </w:tcMar>
          </w:tcPr>
          <w:p w:rsidR="00000000" w:rsidRPr="00001CBF" w:rsidP="00001CBF">
            <w:pPr>
              <w:pStyle w:val="BodyText"/>
            </w:pPr>
            <w:r w:rsidRPr="00001CBF">
              <w:t>Certificate of compliance for wet areas is prepared and processed according to le</w:t>
            </w:r>
            <w:r w:rsidRPr="00001CBF">
              <w:t>gislative and regulatory requirements and scope of personal responsibilities.</w:t>
            </w:r>
          </w:p>
        </w:tc>
      </w:tr>
    </w:tbl>
    <w:p w:rsidR="00000000" w:rsidRPr="00001CBF" w:rsidP="00001CBF">
      <w:pPr>
        <w:pStyle w:val="BodyText"/>
      </w:pPr>
    </w:p>
    <w:p w:rsidR="00000000" w:rsidRPr="00001CBF" w:rsidP="00001CBF">
      <w:pPr>
        <w:pStyle w:val="AllowPageBreak"/>
      </w:pPr>
    </w:p>
    <w:p w:rsidR="00000000" w:rsidRPr="00001CBF" w:rsidP="00001CBF">
      <w:pPr>
        <w:pStyle w:val="Heading1"/>
      </w:pPr>
      <w:bookmarkStart w:id="7" w:name="O_867793"/>
      <w:bookmarkEnd w:id="7"/>
      <w:r w:rsidRPr="00001CBF">
        <w:t>Foundation Skills</w:t>
      </w:r>
    </w:p>
    <w:tbl>
      <w:tblPr>
        <w:tblW w:w="0" w:type="auto"/>
        <w:tblLayout w:type="fixed"/>
        <w:tblCellMar>
          <w:left w:w="62" w:type="dxa"/>
          <w:right w:w="62" w:type="dxa"/>
        </w:tblCellMar>
        <w:tblLook w:val="0000"/>
      </w:tblPr>
      <w:tblGrid>
        <w:gridCol w:w="2256"/>
        <w:gridCol w:w="6878"/>
      </w:tblGrid>
      <w:tr w:rsidTr="00001CBF">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 xml:space="preserve">This section describes the language, literacy, numeracy and employment skills essential to performance in this unit but not explicit in the </w:t>
            </w:r>
            <w:r w:rsidRPr="00001CBF">
              <w:t>performance criteria.</w:t>
            </w:r>
          </w:p>
        </w:tc>
      </w:tr>
      <w:tr w:rsidTr="00001CBF">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001CBF" w:rsidP="00001CBF">
            <w:pPr>
              <w:pStyle w:val="BodyText"/>
            </w:pPr>
            <w:r w:rsidRPr="00001CBF">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SpecialBold"/>
              </w:rPr>
              <w:t>Performance feature</w:t>
            </w:r>
          </w:p>
        </w:tc>
      </w:tr>
      <w:tr w:rsidTr="00001CB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Learning skills to:</w:t>
            </w:r>
          </w:p>
        </w:tc>
        <w:tc>
          <w:tcPr>
            <w:tcW w:w="6878"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independently access and interpret a range of complex technical information relating to compliance requirements for features of foundations, footings and structural provisions for buil</w:t>
            </w:r>
            <w:r w:rsidRPr="00001CBF">
              <w:t>dings included in classes 2 to 9, including specific requirements for particular geographic and climatic areas and different planning schemes and codes.</w:t>
            </w:r>
          </w:p>
          <w:p w:rsidR="00000000" w:rsidP="00001CBF">
            <w:pPr>
              <w:pStyle w:val="BodyText"/>
              <w:rPr>
                <w:lang w:val="en-NZ"/>
              </w:rPr>
            </w:pPr>
          </w:p>
        </w:tc>
      </w:tr>
      <w:tr w:rsidTr="00001CB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Numeracy skills to:</w:t>
            </w:r>
          </w:p>
        </w:tc>
        <w:tc>
          <w:tcPr>
            <w:tcW w:w="6878"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extract and interpret a range of mathematical information contained in technical documentation relating to foundations, footings and structural provisions of buildings included in classes 2 to 9, including:</w:t>
            </w:r>
          </w:p>
          <w:p w:rsidR="00000000" w:rsidRPr="00001CBF" w:rsidP="00001CBF">
            <w:pPr>
              <w:pStyle w:val="ListBullet2"/>
            </w:pPr>
            <w:r w:rsidRPr="00001CBF">
              <w:t>ratios, rates and proportions</w:t>
            </w:r>
          </w:p>
          <w:p w:rsidR="00000000" w:rsidRPr="00001CBF" w:rsidP="00001CBF">
            <w:pPr>
              <w:pStyle w:val="ListBullet2"/>
            </w:pPr>
            <w:r w:rsidRPr="00001CBF">
              <w:t xml:space="preserve">detailed plans. </w:t>
            </w:r>
          </w:p>
          <w:p w:rsidR="00000000" w:rsidP="00001CBF">
            <w:pPr>
              <w:pStyle w:val="BodyText"/>
              <w:rPr>
                <w:lang w:val="en-NZ"/>
              </w:rPr>
            </w:pPr>
          </w:p>
        </w:tc>
      </w:tr>
      <w:tr w:rsidTr="00001CB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use communication style and technical construction vocabulary to develop and maintain cooperative and professional relationship with building contractors and exchange technical information</w:t>
            </w:r>
          </w:p>
          <w:p w:rsidR="00000000" w:rsidRPr="00001CBF" w:rsidP="00001CBF">
            <w:pPr>
              <w:pStyle w:val="ListBullet"/>
            </w:pPr>
            <w:r w:rsidRPr="00001CBF">
              <w:t>use a range of questioning techniques to inform inspection activities</w:t>
            </w:r>
          </w:p>
          <w:p w:rsidR="00000000" w:rsidRPr="00001CBF" w:rsidP="00001CBF">
            <w:pPr>
              <w:pStyle w:val="ListBullet"/>
            </w:pPr>
            <w:r w:rsidRPr="00001CBF">
              <w:t>monitor the effectiveness of interactions with on-site personnel when negotiating remedial work and adjust communication style to facilitate a positive outcome.</w:t>
            </w:r>
          </w:p>
          <w:p w:rsidR="00000000" w:rsidP="00001CBF">
            <w:pPr>
              <w:pStyle w:val="BodyText"/>
              <w:rPr>
                <w:lang w:val="en-NZ"/>
              </w:rPr>
            </w:pPr>
          </w:p>
        </w:tc>
      </w:tr>
      <w:tr w:rsidTr="00001CB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Reading skills to:</w:t>
            </w:r>
          </w:p>
        </w:tc>
        <w:tc>
          <w:tcPr>
            <w:tcW w:w="6878"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use</w:t>
            </w:r>
            <w:r w:rsidRPr="00001CBF">
              <w:t xml:space="preserve"> different reading strategies to locate specific compliance requirements in a range of resources, including the BCA</w:t>
            </w:r>
          </w:p>
          <w:p w:rsidR="00000000" w:rsidRPr="00001CBF" w:rsidP="00001CBF">
            <w:pPr>
              <w:pStyle w:val="ListBullet"/>
            </w:pPr>
            <w:r w:rsidRPr="00001CBF">
              <w:t>understand technical texts with complex structures, specialised vocabulary, acronyms and diagrams specific to plans and compliance requireme</w:t>
            </w:r>
            <w:r w:rsidRPr="00001CBF">
              <w:t>nts for features of foundations, footings and structural provisions for buildings included in classes 2 to 9.</w:t>
            </w:r>
          </w:p>
          <w:p w:rsidR="00000000" w:rsidP="00001CBF">
            <w:pPr>
              <w:pStyle w:val="BodyText"/>
              <w:rPr>
                <w:lang w:val="en-NZ"/>
              </w:rPr>
            </w:pPr>
          </w:p>
        </w:tc>
      </w:tr>
      <w:tr w:rsidTr="00001CBF">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Writing skills to:</w:t>
            </w:r>
          </w:p>
        </w:tc>
        <w:tc>
          <w:tcPr>
            <w:tcW w:w="6878"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integrate and document information gathered from a range of sources, including on-site inspections and communications with b</w:t>
            </w:r>
            <w:r w:rsidRPr="00001CBF">
              <w:t>uilders</w:t>
            </w:r>
          </w:p>
          <w:p w:rsidR="00000000" w:rsidRPr="00001CBF" w:rsidP="00001CBF">
            <w:pPr>
              <w:pStyle w:val="ListBullet"/>
            </w:pPr>
            <w:r w:rsidRPr="00001CBF">
              <w:t>use accurately-spelled technical vocabulary specific to compliance of features of foundations, footing and structural provisions when compiling detailed non-compliance reports.</w:t>
            </w:r>
          </w:p>
        </w:tc>
      </w:tr>
    </w:tbl>
    <w:p w:rsidR="00000000" w:rsidRPr="00001CBF" w:rsidP="00001CBF">
      <w:pPr>
        <w:pStyle w:val="BodyText"/>
      </w:pPr>
    </w:p>
    <w:p w:rsidR="00000000" w:rsidRPr="00001CBF" w:rsidP="00001CBF">
      <w:pPr>
        <w:pStyle w:val="AllowPageBreak"/>
      </w:pPr>
    </w:p>
    <w:p w:rsidR="00000000" w:rsidRPr="00001CBF" w:rsidP="00001CBF">
      <w:pPr>
        <w:pStyle w:val="Heading1"/>
      </w:pPr>
      <w:bookmarkStart w:id="8" w:name="O_867792"/>
      <w:bookmarkEnd w:id="8"/>
      <w:r w:rsidRPr="00001CBF">
        <w:t>Range of Conditions</w:t>
      </w:r>
    </w:p>
    <w:tbl>
      <w:tblPr>
        <w:tblW w:w="0" w:type="auto"/>
        <w:tblLayout w:type="fixed"/>
        <w:tblCellMar>
          <w:left w:w="62" w:type="dxa"/>
          <w:right w:w="62" w:type="dxa"/>
        </w:tblCellMar>
        <w:tblLook w:val="0000"/>
      </w:tblPr>
      <w:tblGrid>
        <w:gridCol w:w="2266"/>
        <w:gridCol w:w="6870"/>
      </w:tblGrid>
      <w:tr w:rsidTr="00001CBF">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t>This section specifies work environments and conditions that may affect performance. Essential operating conditions that may be present (depending on the work situation, needs of the candidate, accessibility of the item, and local industry and regional con</w:t>
            </w:r>
            <w:r w:rsidRPr="00001CBF">
              <w:t>texts) are included. Bold italicised wording, if used in the performance criteria, is detailed below.</w:t>
            </w:r>
          </w:p>
        </w:tc>
      </w:tr>
      <w:tr w:rsidTr="00001CBF">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BoldandItalics"/>
              </w:rPr>
              <w:t>Site classification</w:t>
            </w:r>
            <w:r w:rsidRPr="00001CBF">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advice from relevant authority or experts</w:t>
            </w:r>
          </w:p>
          <w:p w:rsidR="00000000" w:rsidRPr="00001CBF" w:rsidP="00001CBF">
            <w:pPr>
              <w:pStyle w:val="ListBullet"/>
            </w:pPr>
            <w:r w:rsidRPr="00001CBF">
              <w:t>determination of soil type, including arrangements for soil testing as requ</w:t>
            </w:r>
            <w:r w:rsidRPr="00001CBF">
              <w:t>ired</w:t>
            </w:r>
          </w:p>
          <w:p w:rsidR="00000000" w:rsidRPr="00001CBF" w:rsidP="00001CBF">
            <w:pPr>
              <w:pStyle w:val="ListBullet"/>
            </w:pPr>
            <w:r w:rsidRPr="00001CBF">
              <w:t>identification of soil properties and characteristics and effects on site stability, including potential for:</w:t>
            </w:r>
          </w:p>
          <w:p w:rsidR="00000000" w:rsidRPr="00001CBF" w:rsidP="00001CBF">
            <w:pPr>
              <w:pStyle w:val="ListBullet2"/>
            </w:pPr>
            <w:r w:rsidRPr="00001CBF">
              <w:t>collapsing soil</w:t>
            </w:r>
          </w:p>
          <w:p w:rsidR="00000000" w:rsidRPr="00001CBF" w:rsidP="00001CBF">
            <w:pPr>
              <w:pStyle w:val="ListBullet2"/>
            </w:pPr>
            <w:r w:rsidRPr="00001CBF">
              <w:t>ground movement due to moisture change</w:t>
            </w:r>
          </w:p>
          <w:p w:rsidR="00000000" w:rsidRPr="00001CBF" w:rsidP="00001CBF">
            <w:pPr>
              <w:pStyle w:val="ListBullet2"/>
            </w:pPr>
            <w:r w:rsidRPr="00001CBF">
              <w:t>land slips</w:t>
            </w:r>
          </w:p>
          <w:p w:rsidR="00000000" w:rsidRPr="00001CBF" w:rsidP="00001CBF">
            <w:pPr>
              <w:pStyle w:val="ListBullet2"/>
            </w:pPr>
            <w:r w:rsidRPr="00001CBF">
              <w:t>mine subsidence</w:t>
            </w:r>
          </w:p>
          <w:p w:rsidR="00000000" w:rsidRPr="00001CBF" w:rsidP="00001CBF">
            <w:pPr>
              <w:pStyle w:val="ListBullet2"/>
            </w:pPr>
            <w:r w:rsidRPr="00001CBF">
              <w:t>soil erosion.</w:t>
            </w:r>
          </w:p>
          <w:p w:rsidR="00000000" w:rsidP="00001CBF">
            <w:pPr>
              <w:pStyle w:val="BodyText"/>
              <w:rPr>
                <w:lang w:val="en-NZ"/>
              </w:rPr>
            </w:pPr>
          </w:p>
        </w:tc>
      </w:tr>
      <w:tr w:rsidTr="00001CBF">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BoldandItalics"/>
              </w:rPr>
              <w:t xml:space="preserve">Compliance requirements for site preparation, foundations and footings </w:t>
            </w:r>
            <w:r w:rsidRPr="00001CBF">
              <w:t>must include:</w:t>
            </w:r>
          </w:p>
        </w:tc>
        <w:tc>
          <w:tcPr>
            <w:tcW w:w="6870"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AS/NZS1170 Structural design actions</w:t>
            </w:r>
          </w:p>
          <w:p w:rsidR="00000000" w:rsidRPr="00001CBF" w:rsidP="00001CBF">
            <w:pPr>
              <w:pStyle w:val="ListBullet"/>
            </w:pPr>
            <w:r w:rsidRPr="00001CBF">
              <w:t>BCA:</w:t>
            </w:r>
          </w:p>
          <w:p w:rsidR="00000000" w:rsidRPr="00001CBF" w:rsidP="00001CBF">
            <w:pPr>
              <w:pStyle w:val="ListBullet2"/>
            </w:pPr>
            <w:r w:rsidRPr="00001CBF">
              <w:t>deemed-to-satisfy specifications</w:t>
            </w:r>
          </w:p>
          <w:p w:rsidR="00000000" w:rsidRPr="00001CBF" w:rsidP="00001CBF">
            <w:pPr>
              <w:pStyle w:val="ListBullet2"/>
            </w:pPr>
            <w:r w:rsidRPr="00001CBF">
              <w:t>performance requirements for alternative solutions</w:t>
            </w:r>
          </w:p>
          <w:p w:rsidR="00000000" w:rsidRPr="00001CBF" w:rsidP="00001CBF">
            <w:pPr>
              <w:pStyle w:val="ListBullet"/>
            </w:pPr>
            <w:r w:rsidRPr="00001CBF">
              <w:t>building control legislation and regulations</w:t>
            </w:r>
          </w:p>
          <w:p w:rsidR="00000000" w:rsidRPr="00001CBF" w:rsidP="00001CBF">
            <w:pPr>
              <w:pStyle w:val="ListBullet"/>
            </w:pPr>
            <w:r w:rsidRPr="00001CBF">
              <w:t>requirements relating to:</w:t>
            </w:r>
          </w:p>
          <w:p w:rsidR="00000000" w:rsidRPr="00001CBF" w:rsidP="00001CBF">
            <w:pPr>
              <w:pStyle w:val="ListBullet2"/>
            </w:pPr>
            <w:r w:rsidRPr="00001CBF">
              <w:t xml:space="preserve">excavations </w:t>
            </w:r>
          </w:p>
          <w:p w:rsidR="00000000" w:rsidRPr="00001CBF" w:rsidP="00001CBF">
            <w:pPr>
              <w:pStyle w:val="ListBullet2"/>
            </w:pPr>
            <w:r w:rsidRPr="00001CBF">
              <w:t>filling under concrete slabs</w:t>
            </w:r>
          </w:p>
          <w:p w:rsidR="00000000" w:rsidRPr="00001CBF" w:rsidP="00001CBF">
            <w:pPr>
              <w:pStyle w:val="ListBullet2"/>
            </w:pPr>
            <w:r w:rsidRPr="00001CBF">
              <w:t xml:space="preserve">pest risk management </w:t>
            </w:r>
          </w:p>
          <w:p w:rsidR="00000000" w:rsidRPr="00001CBF" w:rsidP="00001CBF">
            <w:pPr>
              <w:pStyle w:val="ListBullet"/>
            </w:pPr>
            <w:r w:rsidRPr="00001CBF">
              <w:t xml:space="preserve">requirements specified by relevant authority or experts. </w:t>
            </w:r>
          </w:p>
          <w:p w:rsidR="00000000" w:rsidP="00001CBF">
            <w:pPr>
              <w:pStyle w:val="BodyText"/>
              <w:rPr>
                <w:lang w:val="en-NZ"/>
              </w:rPr>
            </w:pPr>
          </w:p>
        </w:tc>
      </w:tr>
      <w:tr w:rsidTr="00001CBF">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BoldandItalics"/>
              </w:rPr>
              <w:t>Compliance requirements for structural provisions</w:t>
            </w:r>
            <w:r w:rsidRPr="00001CBF">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BCA:</w:t>
            </w:r>
          </w:p>
          <w:p w:rsidR="00000000" w:rsidRPr="00001CBF" w:rsidP="00001CBF">
            <w:pPr>
              <w:pStyle w:val="ListBullet2"/>
            </w:pPr>
            <w:r w:rsidRPr="00001CBF">
              <w:t>deemed-to-satisfy specifications</w:t>
            </w:r>
          </w:p>
          <w:p w:rsidR="00000000" w:rsidRPr="00001CBF" w:rsidP="00001CBF">
            <w:pPr>
              <w:pStyle w:val="ListBullet2"/>
            </w:pPr>
            <w:r w:rsidRPr="00001CBF">
              <w:t>performance requirements for alternative solutions</w:t>
            </w:r>
          </w:p>
          <w:p w:rsidR="00000000" w:rsidRPr="00001CBF" w:rsidP="00001CBF">
            <w:pPr>
              <w:pStyle w:val="ListBullet"/>
            </w:pPr>
            <w:r w:rsidRPr="00001CBF">
              <w:t>building control legislation and regulations</w:t>
            </w:r>
          </w:p>
          <w:p w:rsidR="00000000" w:rsidRPr="00001CBF" w:rsidP="00001CBF">
            <w:pPr>
              <w:pStyle w:val="ListBullet"/>
            </w:pPr>
            <w:r w:rsidRPr="00001CBF">
              <w:t>requirements for:</w:t>
            </w:r>
          </w:p>
          <w:p w:rsidR="00000000" w:rsidRPr="00001CBF" w:rsidP="00001CBF">
            <w:pPr>
              <w:pStyle w:val="ListBullet2"/>
            </w:pPr>
            <w:r w:rsidRPr="00001CBF">
              <w:t>aluminium</w:t>
            </w:r>
          </w:p>
          <w:p w:rsidR="00000000" w:rsidRPr="00001CBF" w:rsidP="00001CBF">
            <w:pPr>
              <w:pStyle w:val="ListBullet2"/>
            </w:pPr>
            <w:r w:rsidRPr="00001CBF">
              <w:t>composite steel and concrete</w:t>
            </w:r>
          </w:p>
          <w:p w:rsidR="00000000" w:rsidRPr="00001CBF" w:rsidP="00001CBF">
            <w:pPr>
              <w:pStyle w:val="ListBullet2"/>
            </w:pPr>
            <w:r w:rsidRPr="00001CBF">
              <w:t>concrete, including tilt-up panel construction</w:t>
            </w:r>
          </w:p>
          <w:p w:rsidR="00000000" w:rsidRPr="00001CBF" w:rsidP="00001CBF">
            <w:pPr>
              <w:pStyle w:val="ListBullet2"/>
            </w:pPr>
            <w:r w:rsidRPr="00001CBF">
              <w:t>glazed assemblies</w:t>
            </w:r>
          </w:p>
          <w:p w:rsidR="00000000" w:rsidRPr="00001CBF" w:rsidP="00001CBF">
            <w:pPr>
              <w:pStyle w:val="ListBullet2"/>
            </w:pPr>
            <w:r w:rsidRPr="00001CBF">
              <w:t>masonry</w:t>
            </w:r>
          </w:p>
          <w:p w:rsidR="00000000" w:rsidRPr="00001CBF" w:rsidP="00001CBF">
            <w:pPr>
              <w:pStyle w:val="ListBullet2"/>
            </w:pPr>
            <w:r w:rsidRPr="00001CBF">
              <w:t>roofs</w:t>
            </w:r>
          </w:p>
          <w:p w:rsidR="00000000" w:rsidRPr="00001CBF" w:rsidP="00001CBF">
            <w:pPr>
              <w:pStyle w:val="ListBullet2"/>
            </w:pPr>
            <w:r w:rsidRPr="00001CBF">
              <w:t>steel</w:t>
            </w:r>
          </w:p>
          <w:p w:rsidR="00000000" w:rsidRPr="00001CBF" w:rsidP="00001CBF">
            <w:pPr>
              <w:pStyle w:val="ListBullet2"/>
            </w:pPr>
            <w:r w:rsidRPr="00001CBF">
              <w:t>timber.</w:t>
            </w:r>
          </w:p>
          <w:p w:rsidR="00000000" w:rsidP="00001CBF">
            <w:pPr>
              <w:pStyle w:val="BodyText"/>
              <w:rPr>
                <w:lang w:val="en-NZ"/>
              </w:rPr>
            </w:pPr>
          </w:p>
        </w:tc>
      </w:tr>
      <w:tr w:rsidTr="00001CBF">
        <w:tblPrEx>
          <w:tblW w:w="0" w:type="auto"/>
          <w:tblLayout w:type="fixed"/>
          <w:tblCellMar>
            <w:left w:w="62" w:type="dxa"/>
            <w:right w:w="62" w:type="dxa"/>
          </w:tblCellMar>
          <w:tblLook w:val="0000"/>
        </w:tblPrEx>
        <w:tc>
          <w:tcPr>
            <w:tcW w:w="2266" w:type="dxa"/>
            <w:tcBorders>
              <w:top w:val="nil"/>
              <w:left w:val="nil"/>
              <w:bottom w:val="nil"/>
              <w:right w:val="nil"/>
            </w:tcBorders>
            <w:tcMar>
              <w:top w:w="0" w:type="dxa"/>
              <w:left w:w="62" w:type="dxa"/>
              <w:bottom w:w="0" w:type="dxa"/>
              <w:right w:w="62" w:type="dxa"/>
            </w:tcMar>
          </w:tcPr>
          <w:p w:rsidR="00000000" w:rsidP="00001CBF">
            <w:pPr>
              <w:pStyle w:val="BodyText"/>
              <w:rPr>
                <w:lang w:val="en-NZ"/>
              </w:rPr>
            </w:pPr>
            <w:r w:rsidRPr="00001CBF">
              <w:rPr>
                <w:rStyle w:val="BoldandItalics"/>
              </w:rPr>
              <w:t>Compliance requirements for waterproofing</w:t>
            </w:r>
            <w:r w:rsidRPr="00001CBF">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001CBF" w:rsidP="00001CBF">
            <w:pPr>
              <w:pStyle w:val="ListBullet"/>
            </w:pPr>
            <w:r w:rsidRPr="00001CBF">
              <w:t>AS3740 Waterproofing of wet areas within residential buildings, as referenced in the BCA for wet areas of commercial buildings</w:t>
            </w:r>
          </w:p>
          <w:p w:rsidR="00000000" w:rsidRPr="00001CBF" w:rsidP="00001CBF">
            <w:pPr>
              <w:pStyle w:val="ListBullet"/>
            </w:pPr>
            <w:r w:rsidRPr="00001CBF">
              <w:t>BCA:</w:t>
            </w:r>
          </w:p>
          <w:p w:rsidR="00000000" w:rsidRPr="00001CBF" w:rsidP="00001CBF">
            <w:pPr>
              <w:pStyle w:val="ListBullet2"/>
            </w:pPr>
            <w:r w:rsidRPr="00001CBF">
              <w:t>deemed-to-satisfy specifications</w:t>
            </w:r>
          </w:p>
          <w:p w:rsidR="00000000" w:rsidRPr="00001CBF" w:rsidP="00001CBF">
            <w:pPr>
              <w:pStyle w:val="ListBullet2"/>
            </w:pPr>
            <w:r w:rsidRPr="00001CBF">
              <w:t>performance requirements for alternative solutions</w:t>
            </w:r>
          </w:p>
          <w:p w:rsidR="00000000" w:rsidRPr="00001CBF" w:rsidP="00001CBF">
            <w:pPr>
              <w:pStyle w:val="ListBullet"/>
            </w:pPr>
            <w:r w:rsidRPr="00001CBF">
              <w:t>building control legislation and regulations</w:t>
            </w:r>
          </w:p>
          <w:p w:rsidR="00000000" w:rsidRPr="00001CBF" w:rsidP="00001CBF">
            <w:pPr>
              <w:pStyle w:val="ListBullet"/>
            </w:pPr>
            <w:r w:rsidRPr="00001CBF">
              <w:t>requirements specified by relevant authority or experts.</w:t>
            </w:r>
          </w:p>
        </w:tc>
      </w:tr>
    </w:tbl>
    <w:p w:rsidR="00000000" w:rsidRPr="00001CBF" w:rsidP="00001CBF">
      <w:pPr>
        <w:pStyle w:val="BodyText"/>
      </w:pPr>
    </w:p>
    <w:p w:rsidR="00000000" w:rsidRPr="00001CBF" w:rsidP="00001CBF">
      <w:pPr>
        <w:pStyle w:val="AllowPageBreak"/>
      </w:pPr>
    </w:p>
    <w:p w:rsidR="00000000" w:rsidRPr="00001CBF" w:rsidP="00001CBF">
      <w:pPr>
        <w:pStyle w:val="Heading1"/>
      </w:pPr>
      <w:bookmarkStart w:id="9" w:name="O_867791"/>
      <w:bookmarkEnd w:id="9"/>
      <w:r w:rsidRPr="00001CBF">
        <w:t>Unit Mapping Information</w:t>
      </w:r>
    </w:p>
    <w:p w:rsidR="00000000" w:rsidRPr="00001CBF" w:rsidP="00981770">
      <w:pPr>
        <w:pStyle w:val="BodyText"/>
      </w:pPr>
      <w:r w:rsidRPr="00001CBF">
        <w:t>No equivalent unit.</w:t>
      </w:r>
    </w:p>
    <w:p w:rsidR="00000000" w:rsidRPr="00001CBF" w:rsidP="00001CBF">
      <w:pPr>
        <w:pStyle w:val="Heading1"/>
      </w:pPr>
      <w:bookmarkStart w:id="10" w:name="O_867800"/>
      <w:bookmarkEnd w:id="10"/>
      <w:r w:rsidRPr="00001CBF">
        <w:t>Links</w:t>
      </w:r>
    </w:p>
    <w:p w:rsidR="00000000" w:rsidRPr="00001CBF" w:rsidP="00981770">
      <w:pPr>
        <w:pStyle w:val="BodyText"/>
      </w:pPr>
      <w:r w:rsidRPr="00001CB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F3FDF">
        <w:rPr>
          <w:rStyle w:val="Hyperlink"/>
        </w:rPr>
        <w:t>https://vetnet.gov.au/Pages/TrainingDocs.aspx?q=7e15fa6a-68b8-4097-b099-030a5569b1ad</w:t>
      </w:r>
      <w:r>
        <w:fldChar w:fldCharType="end"/>
      </w:r>
    </w:p>
    <w:p w:rsidR="00000000" w:rsidRPr="00001CBF" w:rsidP="00001CBF"/>
    <w:sectPr w:rsidSect="00001C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CBF" w:rsidRPr="00981770" w:rsidP="00981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770" w:rsidP="00001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81770" w:rsidP="00001CB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981770" w:rsidP="00001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7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CBF" w:rsidRPr="00981770" w:rsidP="009817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770" w:rsidRPr="002D2AF8" w:rsidP="00001CBF">
    <w:pPr>
      <w:pStyle w:val="Header"/>
      <w:framePr w:wrap="around"/>
    </w:pPr>
    <w:r>
      <w:fldChar w:fldCharType="begin"/>
    </w:r>
    <w:r>
      <w:instrText xml:space="preserve"> TITLE   \* MERGEFORMAT </w:instrText>
    </w:r>
    <w:r>
      <w:fldChar w:fldCharType="separate"/>
    </w:r>
    <w:r>
      <w:t>CPCCBS6013 Conduct and report on initial construction inspections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981770" w:rsidP="00001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1A4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AD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D49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CBF"/>
    <w:pPr>
      <w:spacing w:before="360" w:after="60"/>
      <w:outlineLvl w:val="0"/>
    </w:pPr>
    <w:rPr>
      <w:sz w:val="32"/>
    </w:rPr>
  </w:style>
  <w:style w:type="paragraph" w:styleId="Heading2">
    <w:name w:val="heading 2"/>
    <w:basedOn w:val="HeadingBase"/>
    <w:next w:val="BodyText"/>
    <w:link w:val="Heading2Char"/>
    <w:qFormat/>
    <w:rsid w:val="00001CBF"/>
    <w:pPr>
      <w:keepLines/>
      <w:spacing w:before="240" w:after="120"/>
      <w:outlineLvl w:val="1"/>
    </w:pPr>
    <w:rPr>
      <w:sz w:val="28"/>
      <w:szCs w:val="40"/>
    </w:rPr>
  </w:style>
  <w:style w:type="paragraph" w:styleId="Heading3">
    <w:name w:val="heading 3"/>
    <w:basedOn w:val="HeadingBase"/>
    <w:next w:val="BodyText"/>
    <w:link w:val="Heading3Char"/>
    <w:qFormat/>
    <w:rsid w:val="00001CBF"/>
    <w:pPr>
      <w:spacing w:before="180" w:after="120"/>
      <w:outlineLvl w:val="2"/>
    </w:pPr>
    <w:rPr>
      <w:spacing w:val="-10"/>
      <w:kern w:val="32"/>
    </w:rPr>
  </w:style>
  <w:style w:type="paragraph" w:styleId="Heading4">
    <w:name w:val="heading 4"/>
    <w:basedOn w:val="HeadingBase"/>
    <w:next w:val="BodyText"/>
    <w:link w:val="Heading4Char"/>
    <w:qFormat/>
    <w:rsid w:val="00001CBF"/>
    <w:pPr>
      <w:spacing w:before="160" w:after="120"/>
      <w:outlineLvl w:val="3"/>
    </w:pPr>
    <w:rPr>
      <w:sz w:val="22"/>
    </w:rPr>
  </w:style>
  <w:style w:type="paragraph" w:styleId="Heading5">
    <w:name w:val="heading 5"/>
    <w:basedOn w:val="HeadingBase"/>
    <w:next w:val="Normal"/>
    <w:link w:val="Heading5Char"/>
    <w:qFormat/>
    <w:rsid w:val="00001CBF"/>
    <w:pPr>
      <w:spacing w:before="80"/>
      <w:outlineLvl w:val="4"/>
    </w:pPr>
    <w:rPr>
      <w:color w:val="918585"/>
      <w:sz w:val="20"/>
    </w:rPr>
  </w:style>
  <w:style w:type="paragraph" w:styleId="Heading6">
    <w:name w:val="heading 6"/>
    <w:basedOn w:val="HeadingBase"/>
    <w:next w:val="Normal"/>
    <w:link w:val="Heading6Char"/>
    <w:qFormat/>
    <w:rsid w:val="00001CBF"/>
    <w:pPr>
      <w:spacing w:before="60"/>
      <w:outlineLvl w:val="5"/>
    </w:pPr>
    <w:rPr>
      <w:color w:val="918585"/>
      <w:sz w:val="20"/>
    </w:rPr>
  </w:style>
  <w:style w:type="paragraph" w:styleId="Heading7">
    <w:name w:val="heading 7"/>
    <w:basedOn w:val="Normal"/>
    <w:next w:val="Normal"/>
    <w:link w:val="Heading7Char"/>
    <w:qFormat/>
    <w:rsid w:val="00001CBF"/>
    <w:pPr>
      <w:ind w:left="720"/>
      <w:outlineLvl w:val="6"/>
    </w:pPr>
    <w:rPr>
      <w:i/>
    </w:rPr>
  </w:style>
  <w:style w:type="paragraph" w:styleId="Heading8">
    <w:name w:val="heading 8"/>
    <w:basedOn w:val="Normal"/>
    <w:next w:val="Normal"/>
    <w:link w:val="Heading8Char"/>
    <w:qFormat/>
    <w:rsid w:val="00001CBF"/>
    <w:pPr>
      <w:ind w:left="720"/>
      <w:outlineLvl w:val="7"/>
    </w:pPr>
    <w:rPr>
      <w:i/>
    </w:rPr>
  </w:style>
  <w:style w:type="paragraph" w:styleId="Heading9">
    <w:name w:val="heading 9"/>
    <w:basedOn w:val="Normal"/>
    <w:next w:val="Normal"/>
    <w:link w:val="Heading9Char"/>
    <w:qFormat/>
    <w:rsid w:val="00001CBF"/>
    <w:pPr>
      <w:ind w:left="720"/>
      <w:outlineLvl w:val="8"/>
    </w:pPr>
    <w:rPr>
      <w:i/>
    </w:rPr>
  </w:style>
  <w:style w:type="character" w:default="1" w:styleId="DefaultParagraphFont">
    <w:name w:val="Default Paragraph Font"/>
    <w:uiPriority w:val="1"/>
    <w:unhideWhenUsed/>
    <w:rsid w:val="00001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CBF"/>
  </w:style>
  <w:style w:type="character" w:customStyle="1" w:styleId="Heading1Char">
    <w:name w:val="Heading 1 Char"/>
    <w:basedOn w:val="DefaultParagraphFont"/>
    <w:link w:val="Heading1"/>
    <w:rsid w:val="00001CBF"/>
    <w:rPr>
      <w:rFonts w:ascii="Times New Roman" w:eastAsia="Times New Roman" w:hAnsi="Times New Roman" w:cs="Times New Roman"/>
      <w:b/>
      <w:sz w:val="32"/>
      <w:szCs w:val="20"/>
      <w:lang w:eastAsia="en-US"/>
    </w:rPr>
  </w:style>
  <w:style w:type="paragraph" w:styleId="BodyText">
    <w:name w:val="Body Text"/>
    <w:basedOn w:val="Normal"/>
    <w:link w:val="BodyTextChar"/>
    <w:rsid w:val="00001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CBF"/>
    <w:rPr>
      <w:rFonts w:ascii="Times New Roman" w:eastAsia="Times New Roman" w:hAnsi="Times New Roman" w:cs="Times New Roman"/>
      <w:sz w:val="24"/>
      <w:lang w:eastAsia="en-US"/>
    </w:rPr>
  </w:style>
  <w:style w:type="paragraph" w:styleId="ListBullet">
    <w:name w:val="List Bullet"/>
    <w:basedOn w:val="List"/>
    <w:rsid w:val="00001CBF"/>
    <w:pPr>
      <w:numPr>
        <w:numId w:val="12"/>
      </w:numPr>
      <w:tabs>
        <w:tab w:val="clear" w:pos="340"/>
      </w:tabs>
      <w:spacing w:before="40" w:after="40"/>
    </w:pPr>
  </w:style>
  <w:style w:type="character" w:customStyle="1" w:styleId="SpecialBold">
    <w:name w:val="Special Bold"/>
    <w:basedOn w:val="DefaultParagraphFont"/>
    <w:rsid w:val="00001CBF"/>
    <w:rPr>
      <w:b/>
      <w:spacing w:val="0"/>
    </w:rPr>
  </w:style>
  <w:style w:type="paragraph" w:styleId="ListBullet2">
    <w:name w:val="List Bullet 2"/>
    <w:basedOn w:val="List2"/>
    <w:rsid w:val="00001CBF"/>
    <w:pPr>
      <w:numPr>
        <w:numId w:val="13"/>
      </w:numPr>
      <w:tabs>
        <w:tab w:val="clear" w:pos="680"/>
      </w:tabs>
    </w:pPr>
  </w:style>
  <w:style w:type="paragraph" w:customStyle="1" w:styleId="SuperHeading">
    <w:name w:val="SuperHeading"/>
    <w:basedOn w:val="Normal"/>
    <w:rsid w:val="00001CBF"/>
    <w:pPr>
      <w:spacing w:before="240" w:after="120"/>
      <w:outlineLvl w:val="0"/>
    </w:pPr>
    <w:rPr>
      <w:rFonts w:ascii="Times New Roman" w:hAnsi="Times New Roman"/>
      <w:b/>
      <w:sz w:val="32"/>
    </w:rPr>
  </w:style>
  <w:style w:type="paragraph" w:customStyle="1" w:styleId="AllowPageBreak">
    <w:name w:val="AllowPageBreak"/>
    <w:rsid w:val="00001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1CBF"/>
    <w:rPr>
      <w:b/>
      <w:i/>
      <w:u w:val="none"/>
    </w:rPr>
  </w:style>
  <w:style w:type="character" w:customStyle="1" w:styleId="Heading2Char">
    <w:name w:val="Heading 2 Char"/>
    <w:basedOn w:val="DefaultParagraphFont"/>
    <w:link w:val="Heading2"/>
    <w:rsid w:val="00001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CBF"/>
    <w:rPr>
      <w:rFonts w:ascii="Courier New" w:eastAsia="Times New Roman" w:hAnsi="Courier New" w:cs="Times New Roman"/>
      <w:i/>
      <w:szCs w:val="20"/>
      <w:lang w:eastAsia="en-US"/>
    </w:rPr>
  </w:style>
  <w:style w:type="paragraph" w:customStyle="1" w:styleId="HeadingBase">
    <w:name w:val="Heading Base"/>
    <w:rsid w:val="00001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CBF"/>
    <w:pPr>
      <w:tabs>
        <w:tab w:val="right" w:leader="dot" w:pos="9072"/>
      </w:tabs>
      <w:ind w:left="567"/>
    </w:pPr>
    <w:rPr>
      <w:szCs w:val="22"/>
    </w:rPr>
  </w:style>
  <w:style w:type="paragraph" w:customStyle="1" w:styleId="TOCBase">
    <w:name w:val="TOC Base"/>
    <w:rsid w:val="00001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CBF"/>
    <w:pPr>
      <w:tabs>
        <w:tab w:val="right" w:leader="dot" w:pos="9072"/>
      </w:tabs>
      <w:spacing w:before="40" w:after="40"/>
      <w:ind w:left="284"/>
    </w:pPr>
    <w:rPr>
      <w:rFonts w:ascii="Times New Roman" w:hAnsi="Times New Roman"/>
    </w:rPr>
  </w:style>
  <w:style w:type="paragraph" w:styleId="TOC1">
    <w:name w:val="toc 1"/>
    <w:basedOn w:val="TOCBase"/>
    <w:next w:val="Normal"/>
    <w:rsid w:val="00001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CBF"/>
    <w:rPr>
      <w:rFonts w:ascii="Times New Roman" w:eastAsia="Times New Roman" w:hAnsi="Times New Roman" w:cs="Times New Roman"/>
      <w:sz w:val="16"/>
      <w:lang w:eastAsia="en-US"/>
    </w:rPr>
  </w:style>
  <w:style w:type="paragraph" w:styleId="Title">
    <w:name w:val="Title"/>
    <w:basedOn w:val="HeadingBase"/>
    <w:link w:val="TitleChar"/>
    <w:qFormat/>
    <w:rsid w:val="00001CBF"/>
    <w:pPr>
      <w:spacing w:before="5040"/>
      <w:jc w:val="center"/>
    </w:pPr>
    <w:rPr>
      <w:sz w:val="48"/>
      <w:szCs w:val="72"/>
      <w:lang w:val="en-US"/>
    </w:rPr>
  </w:style>
  <w:style w:type="character" w:customStyle="1" w:styleId="TitleChar">
    <w:name w:val="Title Char"/>
    <w:basedOn w:val="DefaultParagraphFont"/>
    <w:link w:val="Title"/>
    <w:rsid w:val="00001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CBF"/>
    <w:pPr>
      <w:tabs>
        <w:tab w:val="left" w:pos="3600"/>
        <w:tab w:val="left" w:pos="3958"/>
      </w:tabs>
    </w:pPr>
  </w:style>
  <w:style w:type="paragraph" w:styleId="List">
    <w:name w:val="List"/>
    <w:basedOn w:val="BodyText"/>
    <w:next w:val="BodyText"/>
    <w:rsid w:val="00001CBF"/>
    <w:pPr>
      <w:tabs>
        <w:tab w:val="left" w:pos="340"/>
      </w:tabs>
      <w:spacing w:before="60" w:after="60"/>
      <w:ind w:left="340" w:hanging="340"/>
    </w:pPr>
  </w:style>
  <w:style w:type="paragraph" w:customStyle="1" w:styleId="Note">
    <w:name w:val="Note"/>
    <w:basedOn w:val="BodyText"/>
    <w:rsid w:val="00001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CBF"/>
    <w:pPr>
      <w:framePr w:wrap="auto" w:hAnchor="text" w:y="6049"/>
    </w:pPr>
    <w:rPr>
      <w:color w:val="000000"/>
      <w:sz w:val="40"/>
    </w:rPr>
  </w:style>
  <w:style w:type="paragraph" w:customStyle="1" w:styleId="TOCTitle">
    <w:name w:val="TOCTitle"/>
    <w:basedOn w:val="Heading1"/>
    <w:rsid w:val="00001CBF"/>
    <w:pPr>
      <w:spacing w:after="240"/>
      <w:jc w:val="center"/>
      <w:outlineLvl w:val="9"/>
    </w:pPr>
    <w:rPr>
      <w:caps/>
    </w:rPr>
  </w:style>
  <w:style w:type="paragraph" w:customStyle="1" w:styleId="Version">
    <w:name w:val="Version"/>
    <w:rsid w:val="00001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CBF"/>
    <w:pPr>
      <w:keepNext w:val="0"/>
      <w:tabs>
        <w:tab w:val="right" w:pos="4176"/>
      </w:tabs>
      <w:ind w:left="198" w:hanging="198"/>
    </w:pPr>
    <w:rPr>
      <w:rFonts w:ascii="Garamond" w:hAnsi="Garamond"/>
    </w:rPr>
  </w:style>
  <w:style w:type="paragraph" w:styleId="IndexHeading">
    <w:name w:val="index heading"/>
    <w:basedOn w:val="Normal"/>
    <w:next w:val="Index1"/>
    <w:semiHidden/>
    <w:rsid w:val="00001CBF"/>
    <w:pPr>
      <w:spacing w:before="120" w:after="120"/>
    </w:pPr>
    <w:rPr>
      <w:rFonts w:ascii="Arial" w:hAnsi="Arial"/>
      <w:b/>
      <w:color w:val="918585"/>
      <w:sz w:val="24"/>
    </w:rPr>
  </w:style>
  <w:style w:type="paragraph" w:styleId="Header">
    <w:name w:val="header"/>
    <w:basedOn w:val="Normal"/>
    <w:link w:val="HeaderChar"/>
    <w:rsid w:val="00001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CBF"/>
    <w:rPr>
      <w:rFonts w:ascii="Times New Roman" w:eastAsia="Times New Roman" w:hAnsi="Times New Roman" w:cs="Times New Roman"/>
      <w:sz w:val="16"/>
      <w:szCs w:val="20"/>
      <w:lang w:val="en-GB" w:eastAsia="en-US"/>
    </w:rPr>
  </w:style>
  <w:style w:type="paragraph" w:customStyle="1" w:styleId="Chapter">
    <w:name w:val="Chapter"/>
    <w:basedOn w:val="Normal"/>
    <w:rsid w:val="00001CBF"/>
    <w:pPr>
      <w:spacing w:before="240"/>
    </w:pPr>
    <w:rPr>
      <w:rFonts w:ascii="Times New Roman" w:hAnsi="Times New Roman"/>
      <w:smallCaps/>
      <w:spacing w:val="80"/>
      <w:sz w:val="28"/>
    </w:rPr>
  </w:style>
  <w:style w:type="paragraph" w:customStyle="1" w:styleId="InChapter">
    <w:name w:val="InChapter"/>
    <w:basedOn w:val="Heading3"/>
    <w:rsid w:val="00001CBF"/>
    <w:pPr>
      <w:spacing w:after="240"/>
      <w:outlineLvl w:val="9"/>
    </w:pPr>
    <w:rPr>
      <w:noProof/>
    </w:rPr>
  </w:style>
  <w:style w:type="paragraph" w:styleId="Index2">
    <w:name w:val="index 2"/>
    <w:basedOn w:val="Normal"/>
    <w:next w:val="Normal"/>
    <w:semiHidden/>
    <w:rsid w:val="00001CBF"/>
    <w:pPr>
      <w:tabs>
        <w:tab w:val="right" w:pos="4176"/>
      </w:tabs>
      <w:ind w:left="568" w:hanging="284"/>
    </w:pPr>
    <w:rPr>
      <w:rFonts w:ascii="Garamond" w:hAnsi="Garamond"/>
    </w:rPr>
  </w:style>
  <w:style w:type="paragraph" w:customStyle="1" w:styleId="Byline">
    <w:name w:val="Byline"/>
    <w:rsid w:val="00001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CBF"/>
    <w:pPr>
      <w:tabs>
        <w:tab w:val="clear" w:pos="3600"/>
        <w:tab w:val="clear" w:pos="3958"/>
      </w:tabs>
      <w:jc w:val="right"/>
    </w:pPr>
  </w:style>
  <w:style w:type="character" w:styleId="Emphasis">
    <w:name w:val="Emphasis"/>
    <w:basedOn w:val="DefaultParagraphFont"/>
    <w:qFormat/>
    <w:rsid w:val="00001CBF"/>
    <w:rPr>
      <w:i/>
    </w:rPr>
  </w:style>
  <w:style w:type="paragraph" w:styleId="Caption">
    <w:name w:val="caption"/>
    <w:basedOn w:val="BodyText"/>
    <w:next w:val="Normal"/>
    <w:qFormat/>
    <w:rsid w:val="00001CBF"/>
    <w:pPr>
      <w:framePr w:w="2268" w:hSpace="181" w:vSpace="181" w:wrap="around" w:vAnchor="text" w:hAnchor="page" w:x="1135" w:y="285" w:anchorLock="1"/>
    </w:pPr>
    <w:rPr>
      <w:i/>
    </w:rPr>
  </w:style>
  <w:style w:type="paragraph" w:customStyle="1" w:styleId="MiniTOCTitle">
    <w:name w:val="MiniTOCTitle"/>
    <w:basedOn w:val="Heading4"/>
    <w:rsid w:val="00001CBF"/>
    <w:pPr>
      <w:spacing w:before="240"/>
      <w:outlineLvl w:val="9"/>
    </w:pPr>
    <w:rPr>
      <w:noProof/>
      <w:sz w:val="24"/>
    </w:rPr>
  </w:style>
  <w:style w:type="paragraph" w:customStyle="1" w:styleId="MiniTOCItem">
    <w:name w:val="MiniTOCItem"/>
    <w:basedOn w:val="ListBullet"/>
    <w:rsid w:val="00001CBF"/>
    <w:pPr>
      <w:numPr>
        <w:numId w:val="0"/>
      </w:numPr>
      <w:tabs>
        <w:tab w:val="right" w:leader="dot" w:pos="6521"/>
      </w:tabs>
      <w:spacing w:before="0" w:after="0"/>
    </w:pPr>
  </w:style>
  <w:style w:type="paragraph" w:customStyle="1" w:styleId="TOFTitle">
    <w:name w:val="TOFTitle"/>
    <w:basedOn w:val="TOCTitle"/>
    <w:rsid w:val="00001CBF"/>
  </w:style>
  <w:style w:type="paragraph" w:styleId="TableofFigures">
    <w:name w:val="table of figures"/>
    <w:basedOn w:val="Normal"/>
    <w:next w:val="Normal"/>
    <w:semiHidden/>
    <w:rsid w:val="00001CBF"/>
    <w:pPr>
      <w:tabs>
        <w:tab w:val="right" w:leader="dot" w:pos="9072"/>
      </w:tabs>
      <w:ind w:left="970" w:hanging="403"/>
    </w:pPr>
    <w:rPr>
      <w:rFonts w:ascii="Times New Roman" w:hAnsi="Times New Roman"/>
      <w:b/>
    </w:rPr>
  </w:style>
  <w:style w:type="paragraph" w:styleId="ListNumber">
    <w:name w:val="List Number"/>
    <w:basedOn w:val="List"/>
    <w:rsid w:val="00001CBF"/>
    <w:pPr>
      <w:numPr>
        <w:numId w:val="15"/>
      </w:numPr>
      <w:tabs>
        <w:tab w:val="clear" w:pos="340"/>
      </w:tabs>
    </w:pPr>
  </w:style>
  <w:style w:type="character" w:customStyle="1" w:styleId="WingdingSymbols">
    <w:name w:val="Wingding Symbols"/>
    <w:rsid w:val="00001CBF"/>
    <w:rPr>
      <w:rFonts w:ascii="Wingdings" w:hAnsi="Wingdings"/>
    </w:rPr>
  </w:style>
  <w:style w:type="paragraph" w:customStyle="1" w:styleId="TableHeading">
    <w:name w:val="Table Heading"/>
    <w:basedOn w:val="HeadingBase"/>
    <w:rsid w:val="00001CBF"/>
    <w:pPr>
      <w:keepLines/>
      <w:pBdr>
        <w:bottom w:val="single" w:sz="6" w:space="1" w:color="918585"/>
      </w:pBdr>
      <w:spacing w:before="240"/>
    </w:pPr>
  </w:style>
  <w:style w:type="character" w:customStyle="1" w:styleId="HotSpot">
    <w:name w:val="HotSpot"/>
    <w:rsid w:val="00001CBF"/>
    <w:rPr>
      <w:color w:val="0033CC"/>
      <w:u w:val="none"/>
    </w:rPr>
  </w:style>
  <w:style w:type="paragraph" w:customStyle="1" w:styleId="BodyTextRight">
    <w:name w:val="Body Text Right"/>
    <w:basedOn w:val="BodyText"/>
    <w:rsid w:val="00001CBF"/>
    <w:pPr>
      <w:spacing w:before="0" w:after="0"/>
      <w:jc w:val="right"/>
    </w:pPr>
  </w:style>
  <w:style w:type="paragraph" w:styleId="Index3">
    <w:name w:val="index 3"/>
    <w:basedOn w:val="ListNumber2"/>
    <w:next w:val="Normal"/>
    <w:semiHidden/>
    <w:rsid w:val="00001CBF"/>
    <w:pPr>
      <w:numPr>
        <w:numId w:val="0"/>
      </w:numPr>
      <w:tabs>
        <w:tab w:val="right" w:leader="dot" w:pos="4176"/>
      </w:tabs>
    </w:pPr>
  </w:style>
  <w:style w:type="paragraph" w:styleId="ListNumber2">
    <w:name w:val="List Number 2"/>
    <w:basedOn w:val="List2"/>
    <w:rsid w:val="00001CBF"/>
    <w:pPr>
      <w:numPr>
        <w:numId w:val="10"/>
      </w:numPr>
      <w:tabs>
        <w:tab w:val="clear" w:pos="1060"/>
      </w:tabs>
    </w:pPr>
  </w:style>
  <w:style w:type="paragraph" w:customStyle="1" w:styleId="MarginNote">
    <w:name w:val="Margin Note"/>
    <w:basedOn w:val="BodyText"/>
    <w:rsid w:val="00001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CBF"/>
    <w:rPr>
      <w:sz w:val="32"/>
    </w:rPr>
  </w:style>
  <w:style w:type="paragraph" w:customStyle="1" w:styleId="HeadingProcedure">
    <w:name w:val="Heading Procedure"/>
    <w:basedOn w:val="HeadingBase"/>
    <w:next w:val="Normal"/>
    <w:rsid w:val="00001CBF"/>
    <w:pPr>
      <w:tabs>
        <w:tab w:val="left" w:pos="0"/>
      </w:tabs>
      <w:spacing w:before="120" w:after="60"/>
    </w:pPr>
    <w:rPr>
      <w:i/>
      <w:color w:val="918585"/>
      <w:sz w:val="22"/>
    </w:rPr>
  </w:style>
  <w:style w:type="paragraph" w:customStyle="1" w:styleId="TableBodyText">
    <w:name w:val="Table Body Text"/>
    <w:basedOn w:val="BodyText"/>
    <w:rsid w:val="00001CBF"/>
    <w:pPr>
      <w:spacing w:before="60" w:after="60"/>
    </w:pPr>
  </w:style>
  <w:style w:type="paragraph" w:styleId="ListContinue">
    <w:name w:val="List Continue"/>
    <w:basedOn w:val="List"/>
    <w:rsid w:val="00001CBF"/>
    <w:pPr>
      <w:ind w:firstLine="0"/>
    </w:pPr>
  </w:style>
  <w:style w:type="paragraph" w:customStyle="1" w:styleId="ListNote">
    <w:name w:val="List Note"/>
    <w:basedOn w:val="List"/>
    <w:rsid w:val="00001CBF"/>
    <w:pPr>
      <w:pBdr>
        <w:top w:val="single" w:sz="6" w:space="2" w:color="918585"/>
        <w:bottom w:val="single" w:sz="6" w:space="2" w:color="918585"/>
      </w:pBdr>
      <w:tabs>
        <w:tab w:val="left" w:pos="1021"/>
      </w:tabs>
      <w:ind w:firstLine="0"/>
    </w:pPr>
  </w:style>
  <w:style w:type="paragraph" w:customStyle="1" w:styleId="Warning">
    <w:name w:val="Warning"/>
    <w:basedOn w:val="BodyText"/>
    <w:rsid w:val="00001CBF"/>
    <w:pPr>
      <w:shd w:val="clear" w:color="auto" w:fill="D9D9D9"/>
      <w:tabs>
        <w:tab w:val="left" w:pos="992"/>
      </w:tabs>
      <w:ind w:left="119" w:right="119"/>
    </w:pPr>
    <w:rPr>
      <w:sz w:val="20"/>
    </w:rPr>
  </w:style>
  <w:style w:type="paragraph" w:customStyle="1" w:styleId="MarginIcons">
    <w:name w:val="Margin Icons"/>
    <w:basedOn w:val="BodyText"/>
    <w:rsid w:val="00001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CBF"/>
    <w:rPr>
      <w:rFonts w:ascii="Courier New" w:hAnsi="Courier New"/>
    </w:rPr>
  </w:style>
  <w:style w:type="paragraph" w:customStyle="1" w:styleId="NoteBullet">
    <w:name w:val="Note Bullet"/>
    <w:basedOn w:val="Note"/>
    <w:rsid w:val="00001CBF"/>
    <w:pPr>
      <w:tabs>
        <w:tab w:val="clear" w:pos="680"/>
      </w:tabs>
      <w:spacing w:before="60" w:after="60"/>
    </w:pPr>
  </w:style>
  <w:style w:type="paragraph" w:customStyle="1" w:styleId="SubHeading2">
    <w:name w:val="SubHeading2"/>
    <w:basedOn w:val="HeadingBase"/>
    <w:rsid w:val="00001CBF"/>
    <w:pPr>
      <w:spacing w:before="240" w:after="60"/>
    </w:pPr>
    <w:rPr>
      <w:sz w:val="20"/>
    </w:rPr>
  </w:style>
  <w:style w:type="paragraph" w:customStyle="1" w:styleId="SubHeading1">
    <w:name w:val="SubHeading1"/>
    <w:basedOn w:val="HeadingBase"/>
    <w:rsid w:val="00001CBF"/>
    <w:pPr>
      <w:spacing w:before="240" w:after="60"/>
    </w:pPr>
    <w:rPr>
      <w:color w:val="918585"/>
      <w:sz w:val="22"/>
    </w:rPr>
  </w:style>
  <w:style w:type="paragraph" w:customStyle="1" w:styleId="SideHeading">
    <w:name w:val="Side Heading"/>
    <w:basedOn w:val="HeadingBase"/>
    <w:rsid w:val="00001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CBF"/>
    <w:pPr>
      <w:tabs>
        <w:tab w:val="num" w:pos="360"/>
      </w:tabs>
    </w:pPr>
  </w:style>
  <w:style w:type="paragraph" w:styleId="PlainText">
    <w:name w:val="Plain Text"/>
    <w:basedOn w:val="Normal"/>
    <w:link w:val="PlainTextChar"/>
    <w:rsid w:val="00001CBF"/>
    <w:rPr>
      <w:sz w:val="20"/>
    </w:rPr>
  </w:style>
  <w:style w:type="character" w:customStyle="1" w:styleId="PlainTextChar">
    <w:name w:val="Plain Text Char"/>
    <w:basedOn w:val="DefaultParagraphFont"/>
    <w:link w:val="PlainText"/>
    <w:rsid w:val="00001CBF"/>
    <w:rPr>
      <w:rFonts w:ascii="Courier New" w:eastAsia="Times New Roman" w:hAnsi="Courier New" w:cs="Times New Roman"/>
      <w:sz w:val="20"/>
      <w:szCs w:val="20"/>
      <w:lang w:eastAsia="en-US"/>
    </w:rPr>
  </w:style>
  <w:style w:type="character" w:customStyle="1" w:styleId="MenuOption">
    <w:name w:val="Menu Option"/>
    <w:basedOn w:val="DefaultParagraphFont"/>
    <w:rsid w:val="00001CBF"/>
    <w:rPr>
      <w:b/>
      <w:smallCaps/>
    </w:rPr>
  </w:style>
  <w:style w:type="paragraph" w:customStyle="1" w:styleId="TableListNumber">
    <w:name w:val="Table List Number"/>
    <w:basedOn w:val="ListNumber"/>
    <w:rsid w:val="00001CBF"/>
    <w:pPr>
      <w:numPr>
        <w:numId w:val="0"/>
      </w:numPr>
    </w:pPr>
  </w:style>
  <w:style w:type="paragraph" w:styleId="TOC4">
    <w:name w:val="toc 4"/>
    <w:basedOn w:val="TOCBase"/>
    <w:next w:val="Normal"/>
    <w:semiHidden/>
    <w:rsid w:val="00001CBF"/>
    <w:pPr>
      <w:tabs>
        <w:tab w:val="right" w:leader="dot" w:pos="9071"/>
      </w:tabs>
      <w:ind w:left="1701"/>
    </w:pPr>
  </w:style>
  <w:style w:type="paragraph" w:customStyle="1" w:styleId="ListAlpha">
    <w:name w:val="List Alpha"/>
    <w:basedOn w:val="List"/>
    <w:rsid w:val="00001CBF"/>
    <w:pPr>
      <w:numPr>
        <w:numId w:val="9"/>
      </w:numPr>
    </w:pPr>
  </w:style>
  <w:style w:type="paragraph" w:customStyle="1" w:styleId="ListAlpha2">
    <w:name w:val="List Alpha 2"/>
    <w:basedOn w:val="List2"/>
    <w:rsid w:val="00001CBF"/>
    <w:pPr>
      <w:numPr>
        <w:numId w:val="8"/>
      </w:numPr>
    </w:pPr>
  </w:style>
  <w:style w:type="paragraph" w:styleId="List2">
    <w:name w:val="List 2"/>
    <w:basedOn w:val="BodyText"/>
    <w:rsid w:val="00001CBF"/>
    <w:pPr>
      <w:tabs>
        <w:tab w:val="left" w:pos="680"/>
      </w:tabs>
      <w:spacing w:before="60" w:after="60"/>
      <w:ind w:left="680" w:hanging="340"/>
    </w:pPr>
  </w:style>
  <w:style w:type="paragraph" w:styleId="List3">
    <w:name w:val="List 3"/>
    <w:basedOn w:val="BodyText"/>
    <w:rsid w:val="00001CBF"/>
    <w:pPr>
      <w:tabs>
        <w:tab w:val="left" w:pos="1021"/>
      </w:tabs>
      <w:spacing w:before="60" w:after="60"/>
      <w:ind w:left="1020" w:hanging="340"/>
    </w:pPr>
  </w:style>
  <w:style w:type="paragraph" w:styleId="List4">
    <w:name w:val="List 4"/>
    <w:basedOn w:val="BodyText"/>
    <w:rsid w:val="00001CBF"/>
    <w:pPr>
      <w:tabs>
        <w:tab w:val="left" w:pos="1361"/>
      </w:tabs>
      <w:spacing w:before="60" w:after="60"/>
      <w:ind w:left="1361" w:hanging="340"/>
    </w:pPr>
  </w:style>
  <w:style w:type="paragraph" w:styleId="List5">
    <w:name w:val="List 5"/>
    <w:basedOn w:val="BodyText"/>
    <w:rsid w:val="00001CBF"/>
    <w:pPr>
      <w:tabs>
        <w:tab w:val="left" w:pos="1701"/>
      </w:tabs>
      <w:spacing w:before="60" w:after="60"/>
      <w:ind w:left="1701" w:hanging="340"/>
    </w:pPr>
  </w:style>
  <w:style w:type="paragraph" w:styleId="ListBullet3">
    <w:name w:val="List Bullet 3"/>
    <w:basedOn w:val="List3"/>
    <w:rsid w:val="00001CBF"/>
    <w:pPr>
      <w:numPr>
        <w:numId w:val="14"/>
      </w:numPr>
      <w:tabs>
        <w:tab w:val="clear" w:pos="1021"/>
      </w:tabs>
      <w:ind w:left="1037" w:hanging="357"/>
    </w:pPr>
  </w:style>
  <w:style w:type="paragraph" w:styleId="ListBullet4">
    <w:name w:val="List Bullet 4"/>
    <w:basedOn w:val="List4"/>
    <w:rsid w:val="00001CBF"/>
    <w:pPr>
      <w:numPr>
        <w:numId w:val="3"/>
      </w:numPr>
      <w:tabs>
        <w:tab w:val="clear" w:pos="1361"/>
      </w:tabs>
    </w:pPr>
  </w:style>
  <w:style w:type="paragraph" w:styleId="ListBullet5">
    <w:name w:val="List Bullet 5"/>
    <w:basedOn w:val="List5"/>
    <w:rsid w:val="00001CBF"/>
    <w:pPr>
      <w:numPr>
        <w:numId w:val="4"/>
      </w:numPr>
    </w:pPr>
  </w:style>
  <w:style w:type="paragraph" w:styleId="ListContinue2">
    <w:name w:val="List Continue 2"/>
    <w:basedOn w:val="List2"/>
    <w:rsid w:val="00001CBF"/>
    <w:pPr>
      <w:ind w:firstLine="0"/>
    </w:pPr>
  </w:style>
  <w:style w:type="paragraph" w:styleId="ListContinue3">
    <w:name w:val="List Continue 3"/>
    <w:basedOn w:val="List3"/>
    <w:rsid w:val="00001CBF"/>
    <w:pPr>
      <w:ind w:left="1021" w:firstLine="0"/>
    </w:pPr>
  </w:style>
  <w:style w:type="paragraph" w:styleId="ListContinue4">
    <w:name w:val="List Continue 4"/>
    <w:basedOn w:val="List4"/>
    <w:rsid w:val="00001CBF"/>
    <w:pPr>
      <w:ind w:firstLine="0"/>
    </w:pPr>
  </w:style>
  <w:style w:type="paragraph" w:styleId="ListContinue5">
    <w:name w:val="List Continue 5"/>
    <w:basedOn w:val="List5"/>
    <w:rsid w:val="00001CBF"/>
    <w:pPr>
      <w:ind w:firstLine="0"/>
    </w:pPr>
  </w:style>
  <w:style w:type="paragraph" w:styleId="ListNumber3">
    <w:name w:val="List Number 3"/>
    <w:basedOn w:val="List3"/>
    <w:rsid w:val="00001CBF"/>
    <w:pPr>
      <w:numPr>
        <w:numId w:val="5"/>
      </w:numPr>
    </w:pPr>
  </w:style>
  <w:style w:type="paragraph" w:styleId="ListNumber4">
    <w:name w:val="List Number 4"/>
    <w:basedOn w:val="List4"/>
    <w:rsid w:val="00001CBF"/>
    <w:pPr>
      <w:numPr>
        <w:numId w:val="6"/>
      </w:numPr>
    </w:pPr>
  </w:style>
  <w:style w:type="paragraph" w:styleId="ListNumber5">
    <w:name w:val="List Number 5"/>
    <w:basedOn w:val="List5"/>
    <w:rsid w:val="00001CBF"/>
    <w:pPr>
      <w:numPr>
        <w:numId w:val="7"/>
      </w:numPr>
    </w:pPr>
  </w:style>
  <w:style w:type="paragraph" w:styleId="BlockText">
    <w:name w:val="Block Text"/>
    <w:basedOn w:val="Normal"/>
    <w:rsid w:val="00001CBF"/>
    <w:pPr>
      <w:spacing w:after="120"/>
      <w:ind w:left="1440" w:right="1440"/>
    </w:pPr>
  </w:style>
  <w:style w:type="character" w:customStyle="1" w:styleId="Subscript">
    <w:name w:val="Subscript"/>
    <w:basedOn w:val="DefaultParagraphFont"/>
    <w:rsid w:val="00001CBF"/>
    <w:rPr>
      <w:sz w:val="16"/>
      <w:vertAlign w:val="subscript"/>
    </w:rPr>
  </w:style>
  <w:style w:type="character" w:customStyle="1" w:styleId="Superscript">
    <w:name w:val="Superscript"/>
    <w:basedOn w:val="DefaultParagraphFont"/>
    <w:rsid w:val="00001CBF"/>
    <w:rPr>
      <w:sz w:val="16"/>
      <w:vertAlign w:val="superscript"/>
    </w:rPr>
  </w:style>
  <w:style w:type="character" w:customStyle="1" w:styleId="Symbols">
    <w:name w:val="Symbols"/>
    <w:basedOn w:val="DefaultParagraphFont"/>
    <w:rsid w:val="00001CBF"/>
    <w:rPr>
      <w:rFonts w:ascii="Symbol" w:hAnsi="Symbol"/>
    </w:rPr>
  </w:style>
  <w:style w:type="character" w:customStyle="1" w:styleId="MenuOptions">
    <w:name w:val="Menu Options"/>
    <w:basedOn w:val="DefaultParagraphFont"/>
    <w:rsid w:val="00001CBF"/>
    <w:rPr>
      <w:rFonts w:ascii="Arial Narrow" w:hAnsi="Arial Narrow"/>
      <w:smallCaps/>
    </w:rPr>
  </w:style>
  <w:style w:type="character" w:customStyle="1" w:styleId="Buttons">
    <w:name w:val="Buttons"/>
    <w:basedOn w:val="DefaultParagraphFont"/>
    <w:rsid w:val="00001CBF"/>
    <w:rPr>
      <w:b/>
    </w:rPr>
  </w:style>
  <w:style w:type="character" w:customStyle="1" w:styleId="Underlined">
    <w:name w:val="Underlined"/>
    <w:basedOn w:val="DefaultParagraphFont"/>
    <w:rsid w:val="00001CBF"/>
    <w:rPr>
      <w:u w:val="single"/>
    </w:rPr>
  </w:style>
  <w:style w:type="paragraph" w:customStyle="1" w:styleId="TableBodyTextRight">
    <w:name w:val="Table Body Text Right"/>
    <w:basedOn w:val="TableBodyText"/>
    <w:rsid w:val="00001CBF"/>
    <w:pPr>
      <w:widowControl w:val="0"/>
      <w:autoSpaceDE w:val="0"/>
      <w:autoSpaceDN w:val="0"/>
      <w:adjustRightInd w:val="0"/>
      <w:jc w:val="right"/>
    </w:pPr>
    <w:rPr>
      <w:rFonts w:cs="Arial"/>
      <w:szCs w:val="18"/>
    </w:rPr>
  </w:style>
  <w:style w:type="paragraph" w:customStyle="1" w:styleId="CopyrightText">
    <w:name w:val="Copyright Text"/>
    <w:basedOn w:val="BodyText"/>
    <w:rsid w:val="00001CBF"/>
    <w:rPr>
      <w:sz w:val="18"/>
    </w:rPr>
  </w:style>
  <w:style w:type="paragraph" w:customStyle="1" w:styleId="BodySmallRight">
    <w:name w:val="Body Small Right"/>
    <w:basedOn w:val="BodyTextRight"/>
    <w:rsid w:val="00001CBF"/>
    <w:rPr>
      <w:sz w:val="18"/>
      <w:szCs w:val="18"/>
    </w:rPr>
  </w:style>
  <w:style w:type="paragraph" w:customStyle="1" w:styleId="MarginEdition">
    <w:name w:val="Margin Edition"/>
    <w:basedOn w:val="MarginNote"/>
    <w:rsid w:val="00001CBF"/>
    <w:pPr>
      <w:spacing w:before="0" w:after="0"/>
    </w:pPr>
    <w:rPr>
      <w:rFonts w:ascii="Times New Roman" w:hAnsi="Times New Roman"/>
      <w:color w:val="999999"/>
    </w:rPr>
  </w:style>
  <w:style w:type="paragraph" w:customStyle="1" w:styleId="Spacer">
    <w:name w:val="Spacer"/>
    <w:basedOn w:val="Normal"/>
    <w:rsid w:val="00001CBF"/>
    <w:rPr>
      <w:sz w:val="2"/>
      <w:szCs w:val="2"/>
    </w:rPr>
  </w:style>
  <w:style w:type="character" w:customStyle="1" w:styleId="Small">
    <w:name w:val="Small"/>
    <w:basedOn w:val="DefaultParagraphFont"/>
    <w:rsid w:val="00001CBF"/>
    <w:rPr>
      <w:sz w:val="16"/>
    </w:rPr>
  </w:style>
  <w:style w:type="paragraph" w:customStyle="1" w:styleId="WideTable">
    <w:name w:val="Wide Table"/>
    <w:basedOn w:val="Normal"/>
    <w:rsid w:val="00001CBF"/>
    <w:pPr>
      <w:ind w:left="-1418"/>
    </w:pPr>
    <w:rPr>
      <w:sz w:val="2"/>
      <w:szCs w:val="2"/>
    </w:rPr>
  </w:style>
  <w:style w:type="character" w:styleId="PageNumber">
    <w:name w:val="page number"/>
    <w:basedOn w:val="DefaultParagraphFont"/>
    <w:rsid w:val="00001CBF"/>
  </w:style>
  <w:style w:type="paragraph" w:styleId="Quote">
    <w:name w:val="Quote"/>
    <w:basedOn w:val="Heading1"/>
    <w:link w:val="QuoteChar"/>
    <w:qFormat/>
    <w:rsid w:val="00001CBF"/>
    <w:rPr>
      <w:b w:val="0"/>
      <w:sz w:val="72"/>
      <w:szCs w:val="72"/>
      <w:lang w:val="en-NZ"/>
    </w:rPr>
  </w:style>
  <w:style w:type="character" w:customStyle="1" w:styleId="QuoteChar">
    <w:name w:val="Quote Char"/>
    <w:basedOn w:val="DefaultParagraphFont"/>
    <w:link w:val="Quote"/>
    <w:rsid w:val="00001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CBF"/>
    <w:pPr>
      <w:pageBreakBefore/>
    </w:pPr>
  </w:style>
  <w:style w:type="paragraph" w:customStyle="1" w:styleId="Border">
    <w:name w:val="Border"/>
    <w:basedOn w:val="Normal"/>
    <w:qFormat/>
    <w:rsid w:val="00001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CBF"/>
    <w:rPr>
      <w:b/>
      <w:bCs/>
      <w:i/>
      <w:iCs/>
      <w:color w:val="auto"/>
    </w:rPr>
  </w:style>
  <w:style w:type="paragraph" w:styleId="IntenseQuote">
    <w:name w:val="Intense Quote"/>
    <w:basedOn w:val="Normal"/>
    <w:next w:val="Normal"/>
    <w:link w:val="IntenseQuoteChar"/>
    <w:uiPriority w:val="30"/>
    <w:qFormat/>
    <w:rsid w:val="00001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CBF"/>
    <w:rPr>
      <w:smallCaps/>
      <w:color w:val="auto"/>
      <w:u w:val="single"/>
    </w:rPr>
  </w:style>
  <w:style w:type="character" w:styleId="IntenseReference">
    <w:name w:val="Intense Reference"/>
    <w:basedOn w:val="DefaultParagraphFont"/>
    <w:uiPriority w:val="32"/>
    <w:qFormat/>
    <w:rsid w:val="00001CBF"/>
    <w:rPr>
      <w:b/>
      <w:bCs/>
      <w:smallCaps/>
      <w:color w:val="auto"/>
      <w:spacing w:val="5"/>
      <w:u w:val="single"/>
    </w:rPr>
  </w:style>
  <w:style w:type="paragraph" w:customStyle="1" w:styleId="2ColumnHeading">
    <w:name w:val="2Column Heading"/>
    <w:basedOn w:val="BodyText"/>
    <w:qFormat/>
    <w:rsid w:val="00001CBF"/>
    <w:pPr>
      <w:spacing w:after="60"/>
      <w:ind w:left="-2268"/>
    </w:pPr>
    <w:rPr>
      <w:b/>
    </w:rPr>
  </w:style>
  <w:style w:type="paragraph" w:customStyle="1" w:styleId="Heading1TOC">
    <w:name w:val="Heading1 TOC"/>
    <w:basedOn w:val="Normal"/>
    <w:qFormat/>
    <w:rsid w:val="00001CBF"/>
    <w:pPr>
      <w:spacing w:before="240" w:after="120"/>
    </w:pPr>
    <w:rPr>
      <w:rFonts w:ascii="Times New Roman" w:hAnsi="Times New Roman"/>
      <w:b/>
      <w:sz w:val="32"/>
    </w:rPr>
  </w:style>
  <w:style w:type="paragraph" w:customStyle="1" w:styleId="Heading2TOC">
    <w:name w:val="Heading2 TOC"/>
    <w:basedOn w:val="Normal"/>
    <w:qFormat/>
    <w:rsid w:val="00001CBF"/>
    <w:pPr>
      <w:spacing w:before="240" w:after="60"/>
    </w:pPr>
    <w:rPr>
      <w:rFonts w:ascii="Times New Roman" w:hAnsi="Times New Roman"/>
      <w:b/>
      <w:sz w:val="28"/>
    </w:rPr>
  </w:style>
  <w:style w:type="character" w:customStyle="1" w:styleId="Underline">
    <w:name w:val="Underline"/>
    <w:basedOn w:val="DefaultParagraphFont"/>
    <w:qFormat/>
    <w:rsid w:val="00001CBF"/>
    <w:rPr>
      <w:u w:val="single"/>
    </w:rPr>
  </w:style>
  <w:style w:type="paragraph" w:styleId="BalloonText">
    <w:name w:val="Balloon Text"/>
    <w:basedOn w:val="Normal"/>
    <w:link w:val="BalloonTextChar"/>
    <w:rsid w:val="00001CBF"/>
    <w:rPr>
      <w:rFonts w:ascii="Tahoma" w:hAnsi="Tahoma" w:cs="Tahoma"/>
      <w:sz w:val="16"/>
      <w:szCs w:val="16"/>
    </w:rPr>
  </w:style>
  <w:style w:type="character" w:customStyle="1" w:styleId="BalloonTextChar">
    <w:name w:val="Balloon Text Char"/>
    <w:basedOn w:val="DefaultParagraphFont"/>
    <w:link w:val="BalloonText"/>
    <w:rsid w:val="00001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CBF"/>
    <w:rPr>
      <w:b/>
      <w:color w:val="660033"/>
      <w:spacing w:val="0"/>
    </w:rPr>
  </w:style>
  <w:style w:type="paragraph" w:customStyle="1" w:styleId="Nameditemlist">
    <w:name w:val="Named item list"/>
    <w:basedOn w:val="BodyText"/>
    <w:qFormat/>
    <w:rsid w:val="00001CBF"/>
    <w:pPr>
      <w:tabs>
        <w:tab w:val="left" w:pos="2835"/>
      </w:tabs>
      <w:ind w:left="2835" w:hanging="2835"/>
    </w:pPr>
  </w:style>
  <w:style w:type="paragraph" w:customStyle="1" w:styleId="BodyTextnopadding">
    <w:name w:val="Body Text no padding"/>
    <w:basedOn w:val="BodyText"/>
    <w:qFormat/>
    <w:rsid w:val="00001CBF"/>
    <w:pPr>
      <w:spacing w:before="0" w:after="0"/>
    </w:pPr>
  </w:style>
  <w:style w:type="paragraph" w:customStyle="1" w:styleId="BodyTextBold">
    <w:name w:val="Body Text Bold"/>
    <w:basedOn w:val="BodyText"/>
    <w:qFormat/>
    <w:rsid w:val="00001CBF"/>
    <w:rPr>
      <w:b/>
    </w:rPr>
  </w:style>
  <w:style w:type="character" w:styleId="Hyperlink">
    <w:name w:val="Hyperlink"/>
    <w:basedOn w:val="DefaultParagraphFont"/>
    <w:uiPriority w:val="99"/>
    <w:unhideWhenUsed/>
    <w:rsid w:val="009817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1578</Words>
  <Characters>10652</Characters>
  <Application>Microsoft Office Word</Application>
  <DocSecurity>0</DocSecurity>
  <Lines>443</Lines>
  <Paragraphs>207</Paragraphs>
  <ScaleCrop>false</ScaleCrop>
  <Company>Author-it Software Corporation Ltd.</Company>
  <LinksUpToDate>false</LinksUpToDate>
  <CharactersWithSpaces>12023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CPCCBS6013 Conduct and report on initial construction inspections of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2020-12-23T10:37:00Z</dcterms:created>
  <dcterms:modified xsi:type="dcterms:W3CDTF">2020-12-23T10:37:00Z</dcterms:modified>
</cp:coreProperties>
</file>