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80B" w:rsidP="00B3580B">
      <w:pPr>
        <w:pStyle w:val="Title"/>
      </w:pPr>
      <w:r>
        <w:fldChar w:fldCharType="begin"/>
      </w:r>
      <w:r>
        <w:instrText xml:space="preserve"> TITLE   \* MERGEFORMAT </w:instrText>
      </w:r>
      <w:r>
        <w:fldChar w:fldCharType="separate"/>
      </w:r>
      <w:r>
        <w:t>CPCCBS6011 Conduct and report on building surveying audits of commercial buildings up to three storeys</w:t>
      </w:r>
      <w:r>
        <w:fldChar w:fldCharType="end"/>
      </w:r>
    </w:p>
    <w:p w:rsidR="00B3580B" w:rsidP="00B3580B">
      <w:pPr>
        <w:pStyle w:val="Version"/>
        <w:sectPr w:rsidSect="00FF3A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F3AD4" w:rsidP="00FF3AD4">
      <w:pPr>
        <w:pStyle w:val="SuperHeading"/>
      </w:pPr>
      <w:r w:rsidRPr="00FF3AD4">
        <w:t>CPCCBS6011 Conduct and report on building surveying audits of commercial buildings up to three storeys</w:t>
      </w:r>
    </w:p>
    <w:p w:rsidR="00000000" w:rsidRPr="00FF3AD4" w:rsidP="00FF3AD4">
      <w:pPr>
        <w:pStyle w:val="Heading1"/>
      </w:pPr>
      <w:bookmarkStart w:id="1" w:name="O_867781"/>
      <w:bookmarkEnd w:id="1"/>
      <w:r w:rsidRPr="00FF3AD4">
        <w:t>Modification History</w:t>
      </w:r>
    </w:p>
    <w:tbl>
      <w:tblPr>
        <w:tblW w:w="9242" w:type="dxa"/>
        <w:tblLayout w:type="fixed"/>
        <w:tblCellMar>
          <w:left w:w="62" w:type="dxa"/>
          <w:right w:w="62" w:type="dxa"/>
        </w:tblCellMar>
        <w:tblLook w:val="0000"/>
      </w:tblPr>
      <w:tblGrid>
        <w:gridCol w:w="1059"/>
        <w:gridCol w:w="8183"/>
      </w:tblGrid>
      <w:tr w:rsidTr="00FF3AD4">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SpecialBold"/>
              </w:rPr>
              <w:t>Comments</w:t>
            </w:r>
          </w:p>
        </w:tc>
      </w:tr>
      <w:tr w:rsidTr="00FF3AD4">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1.1</w:t>
            </w:r>
          </w:p>
        </w:tc>
        <w:tc>
          <w:tcPr>
            <w:tcW w:w="8183"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Replaces superseded equivalent CPCCBS6011 Conduct and report on building surveying audits of commercial buildings up to three storeys.</w:t>
            </w:r>
          </w:p>
          <w:p w:rsidR="00000000" w:rsidRPr="00FF3AD4" w:rsidP="00FF3AD4">
            <w:pPr>
              <w:pStyle w:val="BodyText"/>
            </w:pPr>
            <w:r w:rsidRPr="00FF3AD4">
              <w:t>This version first released with CPC Construction, Plumbing and Services Training Package Version 1.1</w:t>
            </w:r>
          </w:p>
          <w:p w:rsidR="00000000" w:rsidP="00FF3AD4">
            <w:pPr>
              <w:pStyle w:val="BodyText"/>
              <w:rPr>
                <w:lang w:val="en-NZ"/>
              </w:rPr>
            </w:pPr>
          </w:p>
        </w:tc>
      </w:tr>
      <w:tr w:rsidTr="00FF3AD4">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w:t>
            </w:r>
          </w:p>
        </w:tc>
        <w:tc>
          <w:tcPr>
            <w:tcW w:w="8183"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New unit of com</w:t>
            </w:r>
            <w:r w:rsidRPr="00FF3AD4">
              <w:t>petency.</w:t>
            </w:r>
          </w:p>
          <w:p w:rsidR="00000000" w:rsidRPr="00FF3AD4" w:rsidP="00FF3AD4">
            <w:pPr>
              <w:pStyle w:val="BodyText"/>
            </w:pPr>
            <w:r w:rsidRPr="00FF3AD4">
              <w:t>This version first released with CPC Construction, Plumbing and Services Training Package Version 1.</w:t>
            </w:r>
          </w:p>
        </w:tc>
      </w:tr>
    </w:tbl>
    <w:p w:rsidR="00000000" w:rsidRPr="00FF3AD4" w:rsidP="00FF3AD4">
      <w:pPr>
        <w:pStyle w:val="BodyText"/>
      </w:pPr>
    </w:p>
    <w:p w:rsidR="00000000" w:rsidRPr="00FF3AD4" w:rsidP="00FF3AD4">
      <w:pPr>
        <w:pStyle w:val="AllowPageBreak"/>
      </w:pPr>
    </w:p>
    <w:p w:rsidR="00000000" w:rsidRPr="00FF3AD4" w:rsidP="00FF3AD4">
      <w:pPr>
        <w:pStyle w:val="Heading1"/>
      </w:pPr>
      <w:bookmarkStart w:id="2" w:name="O_867780"/>
      <w:bookmarkEnd w:id="2"/>
      <w:r w:rsidRPr="00FF3AD4">
        <w:t>Application</w:t>
      </w:r>
    </w:p>
    <w:p w:rsidR="00000000" w:rsidRPr="00FF3AD4" w:rsidP="00B3580B">
      <w:pPr>
        <w:pStyle w:val="BodyText"/>
      </w:pPr>
      <w:r w:rsidRPr="00FF3AD4">
        <w:t>This unit of competency specifies the outcomes required to audit commercial buildings in classes 2 to 9, up to thre</w:t>
      </w:r>
      <w:r w:rsidRPr="00FF3AD4">
        <w:t xml:space="preserve">e storeys, as defined in the Building Code of Australia (BCA), against current requirements of the BCA and local planning policies. </w:t>
      </w:r>
    </w:p>
    <w:p w:rsidR="00000000" w:rsidRPr="00FF3AD4" w:rsidP="00B3580B">
      <w:pPr>
        <w:pStyle w:val="BodyText"/>
      </w:pPr>
      <w:r w:rsidRPr="00FF3AD4">
        <w:t>The unit supports the work of private and municipal building surveyors providing advisory code-consulting services, who ca</w:t>
      </w:r>
      <w:r w:rsidRPr="00FF3AD4">
        <w:t>rry out building surveying audits and advise on building compliance. The unit supports the conduct of commercial building surveying audits required as part of a sales process to inform planned works or upgrades to existing commercial buildings, where advic</w:t>
      </w:r>
      <w:r w:rsidRPr="00FF3AD4">
        <w:t>e on compliance requirements related to the proposed change of use of a commercial building or as part of an insurance assessment is required. The audit is primarily concerned with the compliance implications of the building.</w:t>
      </w:r>
    </w:p>
    <w:p w:rsidR="00000000" w:rsidRPr="00FF3AD4" w:rsidP="00B3580B">
      <w:pPr>
        <w:pStyle w:val="BodyText"/>
      </w:pPr>
      <w:r w:rsidRPr="00FF3AD4">
        <w:t>Licensing, legislative, regul</w:t>
      </w:r>
      <w:r w:rsidRPr="00FF3AD4">
        <w:t>atory or certification requirements apply to this unit in some States. Relevant state and territory regulatory authorities should be consulted to confirm those requirements.</w:t>
      </w:r>
    </w:p>
    <w:p w:rsidR="00000000" w:rsidRPr="00FF3AD4" w:rsidP="00FF3AD4">
      <w:pPr>
        <w:pStyle w:val="Heading1"/>
      </w:pPr>
      <w:bookmarkStart w:id="3" w:name="O_867779"/>
      <w:bookmarkEnd w:id="3"/>
      <w:r w:rsidRPr="00FF3AD4">
        <w:t>Pre-requisite Unit</w:t>
      </w:r>
    </w:p>
    <w:p w:rsidR="00000000" w:rsidRPr="00FF3AD4" w:rsidP="00B3580B">
      <w:pPr>
        <w:pStyle w:val="BodyText"/>
      </w:pPr>
      <w:r w:rsidRPr="00FF3AD4">
        <w:t>Nil</w:t>
      </w:r>
    </w:p>
    <w:p w:rsidR="00000000" w:rsidRPr="00FF3AD4" w:rsidP="00FF3AD4">
      <w:pPr>
        <w:pStyle w:val="Heading1"/>
      </w:pPr>
      <w:bookmarkStart w:id="4" w:name="O_867778"/>
      <w:bookmarkEnd w:id="4"/>
      <w:r w:rsidRPr="00FF3AD4">
        <w:t>Competency Field</w:t>
      </w:r>
    </w:p>
    <w:p w:rsidR="00000000" w:rsidRPr="00FF3AD4" w:rsidP="00B3580B">
      <w:pPr>
        <w:pStyle w:val="BodyText"/>
      </w:pPr>
      <w:r w:rsidRPr="00FF3AD4">
        <w:t>Building surveying</w:t>
      </w:r>
    </w:p>
    <w:p w:rsidR="00000000" w:rsidRPr="00FF3AD4" w:rsidP="00FF3AD4">
      <w:pPr>
        <w:pStyle w:val="Heading1"/>
      </w:pPr>
      <w:bookmarkStart w:id="5" w:name="O_867777"/>
      <w:bookmarkEnd w:id="5"/>
      <w:r w:rsidRPr="00FF3AD4">
        <w:t>Unit Sector</w:t>
      </w:r>
    </w:p>
    <w:p w:rsidR="00000000" w:rsidRPr="00FF3AD4" w:rsidP="00B3580B">
      <w:pPr>
        <w:pStyle w:val="BodyText"/>
      </w:pPr>
      <w:r w:rsidRPr="00FF3AD4">
        <w:t>Construction</w:t>
      </w:r>
    </w:p>
    <w:p w:rsidR="00000000" w:rsidRPr="00FF3AD4" w:rsidP="00FF3AD4">
      <w:pPr>
        <w:pStyle w:val="Heading1"/>
      </w:pPr>
      <w:bookmarkStart w:id="6" w:name="O_867776"/>
      <w:bookmarkEnd w:id="6"/>
      <w:r w:rsidRPr="00FF3AD4">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FF3AD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Performance criteria describe the performance needed to demonstrate achievement of the element. Where</w:t>
            </w:r>
            <w:r w:rsidRPr="00FF3AD4">
              <w:t xml:space="preserve"> bold italicised text is used, further information is detailed in the range of conditions.</w:t>
            </w:r>
          </w:p>
        </w:tc>
      </w:tr>
      <w:tr w:rsidTr="00FF3AD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w:t>
            </w:r>
          </w:p>
        </w:tc>
        <w:tc>
          <w:tcPr>
            <w:tcW w:w="210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Scope and plan the building surveying audit.</w:t>
            </w: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1.1.</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Application and related documentation requesting building surveying audit are reviewed for property details an</w:t>
            </w:r>
            <w:r w:rsidRPr="00FF3AD4">
              <w:t>d purpose of building surveying audit is clarified.</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1.2.</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Scope and limitations</w:t>
            </w:r>
            <w:r w:rsidRPr="00FF3AD4">
              <w:t xml:space="preserve"> of building surveying audit are determined and agreed criteria of the audit are negotiated with client and other relevant stakeholders.</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1.3.</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Building plans and documentation are obtained where possible and reviewed prior to and during building surveying audit.</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1.4.</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Building ownership, classification and current building use are confirmed and owner or owner’s corporation are contacted to arra</w:t>
            </w:r>
            <w:r w:rsidRPr="00FF3AD4">
              <w:t>nge access to the building.</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1.5.</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Compliance requirements for the building are identified and researched according to building classification, location, and potential change of use.</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1.6.</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Work health and safety (WHS) requirements</w:t>
            </w:r>
            <w:r w:rsidRPr="00FF3AD4">
              <w:t xml:space="preserve"> are identified and applied to the planning process.</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1.7.</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Specialist consultants</w:t>
            </w:r>
            <w:r w:rsidRPr="00FF3AD4">
              <w:t xml:space="preserve"> with relevant expertise are identified and engaged where appropriate.</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1.8.</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Liaison with relevant stakeholders, including local planning authorities, is undertaken as req</w:t>
            </w:r>
            <w:r w:rsidRPr="00FF3AD4">
              <w:t>uired to confirm compliance requirements and relevant planning permissions.</w:t>
            </w:r>
          </w:p>
        </w:tc>
      </w:tr>
      <w:tr w:rsidTr="00FF3A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AD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w:t>
            </w:r>
          </w:p>
        </w:tc>
        <w:tc>
          <w:tcPr>
            <w:tcW w:w="210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Conduct building surveying audit.</w:t>
            </w: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2.1.</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Visual inspections of building interior and exterior are undertaken, construction elements of the building are noted and documented, and photographic evidence of the building is obtained according to workplace procedures.</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2.2.</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Actual use of the building</w:t>
            </w:r>
            <w:r w:rsidRPr="00FF3AD4">
              <w:t xml:space="preserve"> is confirmed, checked against compliance requirements, and documented.</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2.3.</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Agreed elements of the building are evaluated against agreed criteria according to audit scope and limitations, and areas of non-compliance are documented.</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2.4.</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Elements of the building that comply with deemed-to-satisfy provisions of the BCA are noted and documented.</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2.5.</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 xml:space="preserve">Construction materials that may pose a risk to health and safety are documented and specialist consultants are engaged where appropriate to </w:t>
            </w:r>
            <w:r w:rsidRPr="00FF3AD4">
              <w:t>investigate and report on findings.</w:t>
            </w:r>
          </w:p>
        </w:tc>
      </w:tr>
      <w:tr w:rsidTr="00FF3AD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FF3AD4">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w:t>
            </w:r>
          </w:p>
        </w:tc>
        <w:tc>
          <w:tcPr>
            <w:tcW w:w="2100" w:type="dxa"/>
            <w:vMerge w:val="restart"/>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Produce building surveying audit report for client.</w:t>
            </w: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3.1.</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Audit scope, purpose, limitations and assumptions are specified in report.</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3.2.</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Findings of building surveying audit are documented in an approved format with sufficient detail according to workplace procedures.</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3.3.</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Findings and recommendations of specialist consultants are included in audit report.</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3.4.</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Areas of non-compliance and strategies for upgrade works to ensure compliance or other requirements are documented according to workplace procedures, and estimated costings for recommended works are included where required.</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3.5.</w:t>
            </w:r>
          </w:p>
        </w:tc>
        <w:tc>
          <w:tcPr>
            <w:tcW w:w="561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Compliance strategies ar</w:t>
            </w:r>
            <w:r w:rsidRPr="00FF3AD4">
              <w:t>e prioritised and suggested timeframes to achieve compliance are provided according to workplace procedures.</w:t>
            </w:r>
          </w:p>
        </w:tc>
      </w:tr>
      <w:tr w:rsidTr="00FF3AD4">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3.6.</w:t>
            </w:r>
          </w:p>
        </w:tc>
        <w:tc>
          <w:tcPr>
            <w:tcW w:w="5610"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t>Final audit report is provided to client and other relevant stakeholders according to workplace procedures.</w:t>
            </w:r>
          </w:p>
        </w:tc>
      </w:tr>
    </w:tbl>
    <w:p w:rsidR="00000000" w:rsidRPr="00FF3AD4" w:rsidP="00FF3AD4">
      <w:pPr>
        <w:pStyle w:val="BodyText"/>
      </w:pPr>
    </w:p>
    <w:p w:rsidR="00000000" w:rsidRPr="00FF3AD4" w:rsidP="00FF3AD4">
      <w:pPr>
        <w:pStyle w:val="AllowPageBreak"/>
      </w:pPr>
    </w:p>
    <w:p w:rsidR="00000000" w:rsidRPr="00FF3AD4" w:rsidP="00FF3AD4">
      <w:pPr>
        <w:pStyle w:val="Heading1"/>
      </w:pPr>
      <w:bookmarkStart w:id="7" w:name="O_867775"/>
      <w:bookmarkEnd w:id="7"/>
      <w:r w:rsidRPr="00FF3AD4">
        <w:t>Foundation Skills</w:t>
      </w:r>
    </w:p>
    <w:tbl>
      <w:tblPr>
        <w:tblW w:w="0" w:type="auto"/>
        <w:tblLayout w:type="fixed"/>
        <w:tblCellMar>
          <w:left w:w="62" w:type="dxa"/>
          <w:right w:w="62" w:type="dxa"/>
        </w:tblCellMar>
        <w:tblLook w:val="0000"/>
      </w:tblPr>
      <w:tblGrid>
        <w:gridCol w:w="2256"/>
        <w:gridCol w:w="6878"/>
      </w:tblGrid>
      <w:tr w:rsidTr="00FF3AD4">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This section describes the language, literacy, numeracy and employment skills essential to performance in this unit but not explicit in the performance criteria.</w:t>
            </w:r>
          </w:p>
        </w:tc>
      </w:tr>
      <w:tr w:rsidTr="00FF3AD4">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FF3AD4" w:rsidP="00FF3AD4">
            <w:pPr>
              <w:pStyle w:val="BodyText"/>
            </w:pPr>
            <w:r w:rsidRPr="00FF3AD4">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SpecialBold"/>
              </w:rPr>
              <w:t>Performance feature</w:t>
            </w:r>
          </w:p>
        </w:tc>
      </w:tr>
      <w:tr w:rsidTr="00FF3AD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Learning skills to:</w:t>
            </w:r>
          </w:p>
        </w:tc>
        <w:tc>
          <w:tcPr>
            <w:tcW w:w="6878"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independently access and i</w:t>
            </w:r>
            <w:r w:rsidRPr="00FF3AD4">
              <w:t>nterpret a range of complex technical information relating to compliance requirements for buildings included in classes 2 to 9, including specific requirements for different planning schemes and codes</w:t>
            </w:r>
          </w:p>
          <w:p w:rsidR="00000000" w:rsidRPr="00FF3AD4" w:rsidP="00FF3AD4">
            <w:pPr>
              <w:pStyle w:val="ListBullet"/>
            </w:pPr>
            <w:r w:rsidRPr="00FF3AD4">
              <w:t xml:space="preserve">maintain currency of skills and knowledge relating to audit requirements through, for example, email alerts, conferences, or subscriptions to relevant journals. </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Numeracy skills to:</w:t>
            </w:r>
          </w:p>
        </w:tc>
        <w:tc>
          <w:tcPr>
            <w:tcW w:w="6878"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 xml:space="preserve">extract and interpret a range of mathematical information contained in </w:t>
            </w:r>
            <w:r w:rsidRPr="00FF3AD4">
              <w:t>technical documentation relating to the design of buildings included in classes 2 to 9, including ratios, rates and proportions.</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determine client requirements regarding the purpose of audit through open-ended questioning, a</w:t>
            </w:r>
            <w:r w:rsidRPr="00FF3AD4">
              <w:t>ctive listening, paraphrasing and summarising</w:t>
            </w:r>
          </w:p>
          <w:p w:rsidR="00000000" w:rsidRPr="00FF3AD4" w:rsidP="00FF3AD4">
            <w:pPr>
              <w:pStyle w:val="ListBullet"/>
            </w:pPr>
            <w:r w:rsidRPr="00FF3AD4">
              <w:t xml:space="preserve">select and use specialised construction industry vocabulary in a variety of situations for example when providing explanations and in discussions with architects, building designers and specialist personnel. </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Reading skills to:</w:t>
            </w:r>
          </w:p>
        </w:tc>
        <w:tc>
          <w:tcPr>
            <w:tcW w:w="6878"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understand technical texts with complex structures, specialised vocabulary, acronyms and diagrams specific to plans and compliance requirements for buildings included in classes 2 to 9</w:t>
            </w:r>
          </w:p>
          <w:p w:rsidR="00000000" w:rsidRPr="00FF3AD4" w:rsidP="00FF3AD4">
            <w:pPr>
              <w:pStyle w:val="ListBullet"/>
            </w:pPr>
            <w:r w:rsidRPr="00FF3AD4">
              <w:t>use different reading strategies to locate specifi</w:t>
            </w:r>
            <w:r w:rsidRPr="00FF3AD4">
              <w:t>c compliance requirements in a range of resources, including the National Construction Code (NCC).</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Writing skills to:</w:t>
            </w:r>
          </w:p>
        </w:tc>
        <w:tc>
          <w:tcPr>
            <w:tcW w:w="6878"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 xml:space="preserve">complete audit checklists using appropriate construction industry vocabulary. </w:t>
            </w:r>
          </w:p>
        </w:tc>
      </w:tr>
    </w:tbl>
    <w:p w:rsidR="00000000" w:rsidRPr="00FF3AD4" w:rsidP="00FF3AD4">
      <w:pPr>
        <w:pStyle w:val="BodyText"/>
      </w:pPr>
    </w:p>
    <w:p w:rsidR="00000000" w:rsidRPr="00FF3AD4" w:rsidP="00FF3AD4">
      <w:pPr>
        <w:pStyle w:val="AllowPageBreak"/>
      </w:pPr>
    </w:p>
    <w:p w:rsidR="00000000" w:rsidRPr="00FF3AD4" w:rsidP="00FF3AD4">
      <w:pPr>
        <w:pStyle w:val="Heading1"/>
      </w:pPr>
      <w:bookmarkStart w:id="8" w:name="O_867774"/>
      <w:bookmarkEnd w:id="8"/>
      <w:r w:rsidRPr="00FF3AD4">
        <w:t>Range of Conditions</w:t>
      </w:r>
    </w:p>
    <w:tbl>
      <w:tblPr>
        <w:tblW w:w="0" w:type="auto"/>
        <w:tblLayout w:type="fixed"/>
        <w:tblCellMar>
          <w:left w:w="62" w:type="dxa"/>
          <w:right w:w="62" w:type="dxa"/>
        </w:tblCellMar>
        <w:tblLook w:val="0000"/>
      </w:tblPr>
      <w:tblGrid>
        <w:gridCol w:w="2262"/>
        <w:gridCol w:w="6872"/>
      </w:tblGrid>
      <w:tr w:rsidTr="00FF3AD4">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t>This section specifies work environments and conditions that may affect performance. Essential operating conditions that may be present (depending on the work situation, needs of the candidate, accessibility of the item, and local industry and regional con</w:t>
            </w:r>
            <w:r w:rsidRPr="00FF3AD4">
              <w:t>texts) are included. Bold italicised wording, if used in the performance criteria, is detailed below.</w:t>
            </w:r>
          </w:p>
        </w:tc>
      </w:tr>
      <w:tr w:rsidTr="00FF3AD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Scope and limitations</w:t>
            </w:r>
            <w:r w:rsidRPr="00FF3AD4">
              <w:t xml:space="preserve"> must specify whether the audit will include:</w:t>
            </w:r>
          </w:p>
        </w:tc>
        <w:tc>
          <w:tcPr>
            <w:tcW w:w="6872"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access</w:t>
            </w:r>
          </w:p>
          <w:p w:rsidR="00000000" w:rsidRPr="00FF3AD4" w:rsidP="00FF3AD4">
            <w:pPr>
              <w:pStyle w:val="ListBullet"/>
            </w:pPr>
            <w:r w:rsidRPr="00FF3AD4">
              <w:t>asbestos and other hazardous materials</w:t>
            </w:r>
          </w:p>
          <w:p w:rsidR="00000000" w:rsidRPr="00FF3AD4" w:rsidP="00FF3AD4">
            <w:pPr>
              <w:pStyle w:val="ListBullet"/>
            </w:pPr>
            <w:r w:rsidRPr="00FF3AD4">
              <w:t>egress</w:t>
            </w:r>
          </w:p>
          <w:p w:rsidR="00000000" w:rsidRPr="00FF3AD4" w:rsidP="00FF3AD4">
            <w:pPr>
              <w:pStyle w:val="ListBullet"/>
            </w:pPr>
            <w:r w:rsidRPr="00FF3AD4">
              <w:t>energy efficiency</w:t>
            </w:r>
          </w:p>
          <w:p w:rsidR="00000000" w:rsidRPr="00FF3AD4" w:rsidP="00FF3AD4">
            <w:pPr>
              <w:pStyle w:val="ListBullet"/>
            </w:pPr>
            <w:r w:rsidRPr="00FF3AD4">
              <w:t>fire services</w:t>
            </w:r>
          </w:p>
          <w:p w:rsidR="00000000" w:rsidRPr="00FF3AD4" w:rsidP="00FF3AD4">
            <w:pPr>
              <w:pStyle w:val="ListBullet"/>
            </w:pPr>
            <w:r w:rsidRPr="00FF3AD4">
              <w:t>NCC compliance.</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WHS requirements</w:t>
            </w:r>
            <w:r w:rsidRPr="00FF3AD4">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camera</w:t>
            </w:r>
          </w:p>
          <w:p w:rsidR="00000000" w:rsidRPr="00FF3AD4" w:rsidP="00FF3AD4">
            <w:pPr>
              <w:pStyle w:val="ListBullet"/>
            </w:pPr>
            <w:r w:rsidRPr="00FF3AD4">
              <w:t>ladder</w:t>
            </w:r>
          </w:p>
          <w:p w:rsidR="00000000" w:rsidRPr="00FF3AD4" w:rsidP="00FF3AD4">
            <w:pPr>
              <w:pStyle w:val="ListBullet"/>
            </w:pPr>
            <w:r w:rsidRPr="00FF3AD4">
              <w:t>personal protective equipment (PPE):</w:t>
            </w:r>
          </w:p>
          <w:p w:rsidR="00000000" w:rsidRPr="00FF3AD4" w:rsidP="00FF3AD4">
            <w:pPr>
              <w:pStyle w:val="ListBullet2"/>
            </w:pPr>
            <w:r w:rsidRPr="00FF3AD4">
              <w:t>goggles</w:t>
            </w:r>
          </w:p>
          <w:p w:rsidR="00000000" w:rsidRPr="00FF3AD4" w:rsidP="00FF3AD4">
            <w:pPr>
              <w:pStyle w:val="ListBullet2"/>
            </w:pPr>
            <w:r w:rsidRPr="00FF3AD4">
              <w:t>mask</w:t>
            </w:r>
          </w:p>
          <w:p w:rsidR="00000000" w:rsidRPr="00FF3AD4" w:rsidP="00FF3AD4">
            <w:pPr>
              <w:pStyle w:val="ListBullet2"/>
            </w:pPr>
            <w:r w:rsidRPr="00FF3AD4">
              <w:t>overalls</w:t>
            </w:r>
          </w:p>
          <w:p w:rsidR="00000000" w:rsidRPr="00FF3AD4" w:rsidP="00FF3AD4">
            <w:pPr>
              <w:pStyle w:val="ListBullet"/>
            </w:pPr>
            <w:r w:rsidRPr="00FF3AD4">
              <w:t>tape measure</w:t>
            </w:r>
          </w:p>
          <w:p w:rsidR="00000000" w:rsidRPr="00FF3AD4" w:rsidP="00FF3AD4">
            <w:pPr>
              <w:pStyle w:val="ListBullet"/>
            </w:pPr>
            <w:r w:rsidRPr="00FF3AD4">
              <w:t>torch.</w:t>
            </w:r>
          </w:p>
          <w:p w:rsidR="00000000" w:rsidP="00FF3AD4">
            <w:pPr>
              <w:pStyle w:val="BodyText"/>
              <w:rPr>
                <w:lang w:val="en-NZ"/>
              </w:rPr>
            </w:pPr>
          </w:p>
        </w:tc>
      </w:tr>
      <w:tr w:rsidTr="00FF3AD4">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FF3AD4">
            <w:pPr>
              <w:pStyle w:val="BodyText"/>
              <w:rPr>
                <w:lang w:val="en-NZ"/>
              </w:rPr>
            </w:pPr>
            <w:r w:rsidRPr="00FF3AD4">
              <w:rPr>
                <w:rStyle w:val="BoldandItalics"/>
              </w:rPr>
              <w:t>Specialist consultants</w:t>
            </w:r>
            <w:r w:rsidRPr="00FF3AD4">
              <w:t xml:space="preserve"> must include one or more of the following:</w:t>
            </w:r>
          </w:p>
        </w:tc>
        <w:tc>
          <w:tcPr>
            <w:tcW w:w="6872" w:type="dxa"/>
            <w:tcBorders>
              <w:top w:val="nil"/>
              <w:left w:val="nil"/>
              <w:bottom w:val="nil"/>
              <w:right w:val="nil"/>
            </w:tcBorders>
            <w:tcMar>
              <w:top w:w="0" w:type="dxa"/>
              <w:left w:w="62" w:type="dxa"/>
              <w:bottom w:w="0" w:type="dxa"/>
              <w:right w:w="62" w:type="dxa"/>
            </w:tcMar>
          </w:tcPr>
          <w:p w:rsidR="00000000" w:rsidRPr="00FF3AD4" w:rsidP="00FF3AD4">
            <w:pPr>
              <w:pStyle w:val="ListBullet"/>
            </w:pPr>
            <w:r w:rsidRPr="00FF3AD4">
              <w:t>access consultants</w:t>
            </w:r>
          </w:p>
          <w:p w:rsidR="00000000" w:rsidRPr="00FF3AD4" w:rsidP="00FF3AD4">
            <w:pPr>
              <w:pStyle w:val="ListBullet"/>
            </w:pPr>
            <w:r w:rsidRPr="00FF3AD4">
              <w:t>energy efficiency assessors</w:t>
            </w:r>
          </w:p>
          <w:p w:rsidR="00000000" w:rsidRPr="00FF3AD4" w:rsidP="00FF3AD4">
            <w:pPr>
              <w:pStyle w:val="ListBullet"/>
            </w:pPr>
            <w:r w:rsidRPr="00FF3AD4">
              <w:t>fire services engineers</w:t>
            </w:r>
          </w:p>
          <w:p w:rsidR="00000000" w:rsidRPr="00FF3AD4" w:rsidP="00FF3AD4">
            <w:pPr>
              <w:pStyle w:val="ListBullet"/>
            </w:pPr>
            <w:r w:rsidRPr="00FF3AD4">
              <w:t>geotechnical engineers</w:t>
            </w:r>
          </w:p>
          <w:p w:rsidR="00000000" w:rsidRPr="00FF3AD4" w:rsidP="00FF3AD4">
            <w:pPr>
              <w:pStyle w:val="ListBullet"/>
            </w:pPr>
            <w:r w:rsidRPr="00FF3AD4">
              <w:t>heritage consultants</w:t>
            </w:r>
          </w:p>
          <w:p w:rsidR="00000000" w:rsidRPr="00FF3AD4" w:rsidP="00FF3AD4">
            <w:pPr>
              <w:pStyle w:val="ListBullet"/>
            </w:pPr>
            <w:r w:rsidRPr="00FF3AD4">
              <w:t>hydraulic engineers</w:t>
            </w:r>
          </w:p>
          <w:p w:rsidR="00000000" w:rsidRPr="00FF3AD4" w:rsidP="00FF3AD4">
            <w:pPr>
              <w:pStyle w:val="ListBullet"/>
            </w:pPr>
            <w:r w:rsidRPr="00FF3AD4">
              <w:t>mechanical engineers</w:t>
            </w:r>
          </w:p>
          <w:p w:rsidR="00000000" w:rsidRPr="00FF3AD4" w:rsidP="00FF3AD4">
            <w:pPr>
              <w:pStyle w:val="ListBullet"/>
            </w:pPr>
            <w:r w:rsidRPr="00FF3AD4">
              <w:t>structural engineers</w:t>
            </w:r>
          </w:p>
          <w:p w:rsidR="00000000" w:rsidRPr="00FF3AD4" w:rsidP="00FF3AD4">
            <w:pPr>
              <w:pStyle w:val="ListBullet"/>
            </w:pPr>
            <w:r w:rsidRPr="00FF3AD4">
              <w:t>waterproofing specialists.</w:t>
            </w:r>
          </w:p>
        </w:tc>
      </w:tr>
    </w:tbl>
    <w:p w:rsidR="00000000" w:rsidRPr="00FF3AD4" w:rsidP="00FF3AD4">
      <w:pPr>
        <w:pStyle w:val="BodyText"/>
      </w:pPr>
    </w:p>
    <w:p w:rsidR="00000000" w:rsidRPr="00FF3AD4" w:rsidP="00FF3AD4">
      <w:pPr>
        <w:pStyle w:val="AllowPageBreak"/>
      </w:pPr>
    </w:p>
    <w:p w:rsidR="00000000" w:rsidRPr="00FF3AD4" w:rsidP="00FF3AD4">
      <w:pPr>
        <w:pStyle w:val="Heading1"/>
      </w:pPr>
      <w:bookmarkStart w:id="9" w:name="O_867773"/>
      <w:bookmarkEnd w:id="9"/>
      <w:r w:rsidRPr="00FF3AD4">
        <w:t>Unit Mapping Information</w:t>
      </w:r>
    </w:p>
    <w:p w:rsidR="00000000" w:rsidRPr="00FF3AD4" w:rsidP="00B3580B">
      <w:pPr>
        <w:pStyle w:val="BodyText"/>
      </w:pPr>
      <w:r w:rsidRPr="00FF3AD4">
        <w:t>No equivalent unit.</w:t>
      </w:r>
    </w:p>
    <w:p w:rsidR="00000000" w:rsidRPr="00FF3AD4" w:rsidP="00FF3AD4">
      <w:pPr>
        <w:pStyle w:val="Heading1"/>
      </w:pPr>
      <w:bookmarkStart w:id="10" w:name="O_867782"/>
      <w:bookmarkEnd w:id="10"/>
      <w:r w:rsidRPr="00FF3AD4">
        <w:t>Links</w:t>
      </w:r>
    </w:p>
    <w:p w:rsidR="00000000" w:rsidRPr="00FF3AD4" w:rsidP="00B3580B">
      <w:pPr>
        <w:pStyle w:val="BodyText"/>
      </w:pPr>
      <w:r w:rsidRPr="00FF3AD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0F0F44">
        <w:rPr>
          <w:rStyle w:val="Hyperlink"/>
        </w:rPr>
        <w:t>https://vetnet.gov.au/Pages/TrainingDocs.aspx?q=7e15fa6a-68b8-4097-b099-030a5569b1ad</w:t>
      </w:r>
      <w:r>
        <w:fldChar w:fldCharType="end"/>
      </w:r>
    </w:p>
    <w:p w:rsidR="00000000" w:rsidRPr="00FF3AD4" w:rsidP="00FF3AD4"/>
    <w:sectPr w:rsidSect="00FF3A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4" w:rsidRPr="00B3580B" w:rsidP="00B35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B" w:rsidP="00FF3A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80B" w:rsidP="00FF3AD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B3580B" w:rsidP="00FF3A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AD4" w:rsidRPr="00B3580B" w:rsidP="00B35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A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0B" w:rsidRPr="002D2AF8" w:rsidP="00FF3AD4">
    <w:pPr>
      <w:pStyle w:val="Header"/>
      <w:framePr w:wrap="around"/>
    </w:pPr>
    <w:r>
      <w:fldChar w:fldCharType="begin"/>
    </w:r>
    <w:r>
      <w:instrText xml:space="preserve"> TITLE   \* MERGEFORMAT </w:instrText>
    </w:r>
    <w:r>
      <w:fldChar w:fldCharType="separate"/>
    </w:r>
    <w:r>
      <w:t>CPCCBS6011 Conduct and report on building surveying audits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2020</w:t>
    </w:r>
    <w:r>
      <w:fldChar w:fldCharType="end"/>
    </w:r>
  </w:p>
  <w:p w:rsidR="00B3580B" w:rsidP="00FF3A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52D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C7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4E5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A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AD4"/>
    <w:pPr>
      <w:spacing w:before="360" w:after="60"/>
      <w:outlineLvl w:val="0"/>
    </w:pPr>
    <w:rPr>
      <w:sz w:val="32"/>
    </w:rPr>
  </w:style>
  <w:style w:type="paragraph" w:styleId="Heading2">
    <w:name w:val="heading 2"/>
    <w:basedOn w:val="HeadingBase"/>
    <w:next w:val="BodyText"/>
    <w:link w:val="Heading2Char"/>
    <w:qFormat/>
    <w:rsid w:val="00FF3AD4"/>
    <w:pPr>
      <w:keepLines/>
      <w:spacing w:before="240" w:after="120"/>
      <w:outlineLvl w:val="1"/>
    </w:pPr>
    <w:rPr>
      <w:sz w:val="28"/>
      <w:szCs w:val="40"/>
    </w:rPr>
  </w:style>
  <w:style w:type="paragraph" w:styleId="Heading3">
    <w:name w:val="heading 3"/>
    <w:basedOn w:val="HeadingBase"/>
    <w:next w:val="BodyText"/>
    <w:link w:val="Heading3Char"/>
    <w:qFormat/>
    <w:rsid w:val="00FF3AD4"/>
    <w:pPr>
      <w:spacing w:before="180" w:after="120"/>
      <w:outlineLvl w:val="2"/>
    </w:pPr>
    <w:rPr>
      <w:spacing w:val="-10"/>
      <w:kern w:val="32"/>
    </w:rPr>
  </w:style>
  <w:style w:type="paragraph" w:styleId="Heading4">
    <w:name w:val="heading 4"/>
    <w:basedOn w:val="HeadingBase"/>
    <w:next w:val="BodyText"/>
    <w:link w:val="Heading4Char"/>
    <w:qFormat/>
    <w:rsid w:val="00FF3AD4"/>
    <w:pPr>
      <w:spacing w:before="160" w:after="120"/>
      <w:outlineLvl w:val="3"/>
    </w:pPr>
    <w:rPr>
      <w:sz w:val="22"/>
    </w:rPr>
  </w:style>
  <w:style w:type="paragraph" w:styleId="Heading5">
    <w:name w:val="heading 5"/>
    <w:basedOn w:val="HeadingBase"/>
    <w:next w:val="Normal"/>
    <w:link w:val="Heading5Char"/>
    <w:qFormat/>
    <w:rsid w:val="00FF3AD4"/>
    <w:pPr>
      <w:spacing w:before="80"/>
      <w:outlineLvl w:val="4"/>
    </w:pPr>
    <w:rPr>
      <w:color w:val="918585"/>
      <w:sz w:val="20"/>
    </w:rPr>
  </w:style>
  <w:style w:type="paragraph" w:styleId="Heading6">
    <w:name w:val="heading 6"/>
    <w:basedOn w:val="HeadingBase"/>
    <w:next w:val="Normal"/>
    <w:link w:val="Heading6Char"/>
    <w:qFormat/>
    <w:rsid w:val="00FF3AD4"/>
    <w:pPr>
      <w:spacing w:before="60"/>
      <w:outlineLvl w:val="5"/>
    </w:pPr>
    <w:rPr>
      <w:color w:val="918585"/>
      <w:sz w:val="20"/>
    </w:rPr>
  </w:style>
  <w:style w:type="paragraph" w:styleId="Heading7">
    <w:name w:val="heading 7"/>
    <w:basedOn w:val="Normal"/>
    <w:next w:val="Normal"/>
    <w:link w:val="Heading7Char"/>
    <w:qFormat/>
    <w:rsid w:val="00FF3AD4"/>
    <w:pPr>
      <w:ind w:left="720"/>
      <w:outlineLvl w:val="6"/>
    </w:pPr>
    <w:rPr>
      <w:i/>
    </w:rPr>
  </w:style>
  <w:style w:type="paragraph" w:styleId="Heading8">
    <w:name w:val="heading 8"/>
    <w:basedOn w:val="Normal"/>
    <w:next w:val="Normal"/>
    <w:link w:val="Heading8Char"/>
    <w:qFormat/>
    <w:rsid w:val="00FF3AD4"/>
    <w:pPr>
      <w:ind w:left="720"/>
      <w:outlineLvl w:val="7"/>
    </w:pPr>
    <w:rPr>
      <w:i/>
    </w:rPr>
  </w:style>
  <w:style w:type="paragraph" w:styleId="Heading9">
    <w:name w:val="heading 9"/>
    <w:basedOn w:val="Normal"/>
    <w:next w:val="Normal"/>
    <w:link w:val="Heading9Char"/>
    <w:qFormat/>
    <w:rsid w:val="00FF3AD4"/>
    <w:pPr>
      <w:ind w:left="720"/>
      <w:outlineLvl w:val="8"/>
    </w:pPr>
    <w:rPr>
      <w:i/>
    </w:rPr>
  </w:style>
  <w:style w:type="character" w:default="1" w:styleId="DefaultParagraphFont">
    <w:name w:val="Default Paragraph Font"/>
    <w:uiPriority w:val="1"/>
    <w:unhideWhenUsed/>
    <w:rsid w:val="00FF3A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AD4"/>
  </w:style>
  <w:style w:type="character" w:customStyle="1" w:styleId="Heading1Char">
    <w:name w:val="Heading 1 Char"/>
    <w:basedOn w:val="DefaultParagraphFont"/>
    <w:link w:val="Heading1"/>
    <w:rsid w:val="00FF3AD4"/>
    <w:rPr>
      <w:rFonts w:ascii="Times New Roman" w:eastAsia="Times New Roman" w:hAnsi="Times New Roman" w:cs="Times New Roman"/>
      <w:b/>
      <w:sz w:val="32"/>
      <w:szCs w:val="20"/>
      <w:lang w:eastAsia="en-US"/>
    </w:rPr>
  </w:style>
  <w:style w:type="paragraph" w:styleId="BodyText">
    <w:name w:val="Body Text"/>
    <w:basedOn w:val="Normal"/>
    <w:link w:val="BodyTextChar"/>
    <w:rsid w:val="00FF3A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AD4"/>
    <w:rPr>
      <w:rFonts w:ascii="Times New Roman" w:eastAsia="Times New Roman" w:hAnsi="Times New Roman" w:cs="Times New Roman"/>
      <w:sz w:val="24"/>
      <w:lang w:eastAsia="en-US"/>
    </w:rPr>
  </w:style>
  <w:style w:type="paragraph" w:styleId="ListBullet">
    <w:name w:val="List Bullet"/>
    <w:basedOn w:val="List"/>
    <w:rsid w:val="00FF3AD4"/>
    <w:pPr>
      <w:numPr>
        <w:numId w:val="12"/>
      </w:numPr>
      <w:tabs>
        <w:tab w:val="clear" w:pos="340"/>
      </w:tabs>
      <w:spacing w:before="40" w:after="40"/>
    </w:pPr>
  </w:style>
  <w:style w:type="character" w:customStyle="1" w:styleId="SpecialBold">
    <w:name w:val="Special Bold"/>
    <w:basedOn w:val="DefaultParagraphFont"/>
    <w:rsid w:val="00FF3AD4"/>
    <w:rPr>
      <w:b/>
      <w:spacing w:val="0"/>
    </w:rPr>
  </w:style>
  <w:style w:type="paragraph" w:styleId="ListBullet2">
    <w:name w:val="List Bullet 2"/>
    <w:basedOn w:val="List2"/>
    <w:rsid w:val="00FF3AD4"/>
    <w:pPr>
      <w:numPr>
        <w:numId w:val="13"/>
      </w:numPr>
      <w:tabs>
        <w:tab w:val="clear" w:pos="680"/>
      </w:tabs>
    </w:pPr>
  </w:style>
  <w:style w:type="paragraph" w:customStyle="1" w:styleId="SuperHeading">
    <w:name w:val="SuperHeading"/>
    <w:basedOn w:val="Normal"/>
    <w:rsid w:val="00FF3AD4"/>
    <w:pPr>
      <w:spacing w:before="240" w:after="120"/>
      <w:outlineLvl w:val="0"/>
    </w:pPr>
    <w:rPr>
      <w:rFonts w:ascii="Times New Roman" w:hAnsi="Times New Roman"/>
      <w:b/>
      <w:sz w:val="32"/>
    </w:rPr>
  </w:style>
  <w:style w:type="paragraph" w:customStyle="1" w:styleId="AllowPageBreak">
    <w:name w:val="AllowPageBreak"/>
    <w:rsid w:val="00FF3A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3AD4"/>
    <w:rPr>
      <w:b/>
      <w:i/>
      <w:u w:val="none"/>
    </w:rPr>
  </w:style>
  <w:style w:type="character" w:customStyle="1" w:styleId="Heading2Char">
    <w:name w:val="Heading 2 Char"/>
    <w:basedOn w:val="DefaultParagraphFont"/>
    <w:link w:val="Heading2"/>
    <w:rsid w:val="00FF3A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A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A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A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A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A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A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AD4"/>
    <w:rPr>
      <w:rFonts w:ascii="Courier New" w:eastAsia="Times New Roman" w:hAnsi="Courier New" w:cs="Times New Roman"/>
      <w:i/>
      <w:szCs w:val="20"/>
      <w:lang w:eastAsia="en-US"/>
    </w:rPr>
  </w:style>
  <w:style w:type="paragraph" w:customStyle="1" w:styleId="HeadingBase">
    <w:name w:val="Heading Base"/>
    <w:rsid w:val="00FF3A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AD4"/>
    <w:pPr>
      <w:tabs>
        <w:tab w:val="right" w:leader="dot" w:pos="9072"/>
      </w:tabs>
      <w:ind w:left="567"/>
    </w:pPr>
    <w:rPr>
      <w:szCs w:val="22"/>
    </w:rPr>
  </w:style>
  <w:style w:type="paragraph" w:customStyle="1" w:styleId="TOCBase">
    <w:name w:val="TOC Base"/>
    <w:rsid w:val="00FF3A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AD4"/>
    <w:pPr>
      <w:tabs>
        <w:tab w:val="right" w:leader="dot" w:pos="9072"/>
      </w:tabs>
      <w:spacing w:before="40" w:after="40"/>
      <w:ind w:left="284"/>
    </w:pPr>
    <w:rPr>
      <w:rFonts w:ascii="Times New Roman" w:hAnsi="Times New Roman"/>
    </w:rPr>
  </w:style>
  <w:style w:type="paragraph" w:styleId="TOC1">
    <w:name w:val="toc 1"/>
    <w:basedOn w:val="TOCBase"/>
    <w:next w:val="Normal"/>
    <w:rsid w:val="00FF3A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A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AD4"/>
    <w:rPr>
      <w:rFonts w:ascii="Times New Roman" w:eastAsia="Times New Roman" w:hAnsi="Times New Roman" w:cs="Times New Roman"/>
      <w:sz w:val="16"/>
      <w:lang w:eastAsia="en-US"/>
    </w:rPr>
  </w:style>
  <w:style w:type="paragraph" w:styleId="Title">
    <w:name w:val="Title"/>
    <w:basedOn w:val="HeadingBase"/>
    <w:link w:val="TitleChar"/>
    <w:qFormat/>
    <w:rsid w:val="00FF3AD4"/>
    <w:pPr>
      <w:spacing w:before="5040"/>
      <w:jc w:val="center"/>
    </w:pPr>
    <w:rPr>
      <w:sz w:val="48"/>
      <w:szCs w:val="72"/>
      <w:lang w:val="en-US"/>
    </w:rPr>
  </w:style>
  <w:style w:type="character" w:customStyle="1" w:styleId="TitleChar">
    <w:name w:val="Title Char"/>
    <w:basedOn w:val="DefaultParagraphFont"/>
    <w:link w:val="Title"/>
    <w:rsid w:val="00FF3A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AD4"/>
    <w:pPr>
      <w:tabs>
        <w:tab w:val="left" w:pos="3600"/>
        <w:tab w:val="left" w:pos="3958"/>
      </w:tabs>
    </w:pPr>
  </w:style>
  <w:style w:type="paragraph" w:styleId="List">
    <w:name w:val="List"/>
    <w:basedOn w:val="BodyText"/>
    <w:next w:val="BodyText"/>
    <w:rsid w:val="00FF3AD4"/>
    <w:pPr>
      <w:tabs>
        <w:tab w:val="left" w:pos="340"/>
      </w:tabs>
      <w:spacing w:before="60" w:after="60"/>
      <w:ind w:left="340" w:hanging="340"/>
    </w:pPr>
  </w:style>
  <w:style w:type="paragraph" w:customStyle="1" w:styleId="Note">
    <w:name w:val="Note"/>
    <w:basedOn w:val="BodyText"/>
    <w:rsid w:val="00FF3A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AD4"/>
    <w:pPr>
      <w:framePr w:wrap="auto" w:hAnchor="text" w:y="6049"/>
    </w:pPr>
    <w:rPr>
      <w:color w:val="000000"/>
      <w:sz w:val="40"/>
    </w:rPr>
  </w:style>
  <w:style w:type="paragraph" w:customStyle="1" w:styleId="TOCTitle">
    <w:name w:val="TOCTitle"/>
    <w:basedOn w:val="Heading1"/>
    <w:rsid w:val="00FF3AD4"/>
    <w:pPr>
      <w:spacing w:after="240"/>
      <w:jc w:val="center"/>
      <w:outlineLvl w:val="9"/>
    </w:pPr>
    <w:rPr>
      <w:caps/>
    </w:rPr>
  </w:style>
  <w:style w:type="paragraph" w:customStyle="1" w:styleId="Version">
    <w:name w:val="Version"/>
    <w:rsid w:val="00FF3A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AD4"/>
    <w:pPr>
      <w:keepNext w:val="0"/>
      <w:tabs>
        <w:tab w:val="right" w:pos="4176"/>
      </w:tabs>
      <w:ind w:left="198" w:hanging="198"/>
    </w:pPr>
    <w:rPr>
      <w:rFonts w:ascii="Garamond" w:hAnsi="Garamond"/>
    </w:rPr>
  </w:style>
  <w:style w:type="paragraph" w:styleId="IndexHeading">
    <w:name w:val="index heading"/>
    <w:basedOn w:val="Normal"/>
    <w:next w:val="Index1"/>
    <w:semiHidden/>
    <w:rsid w:val="00FF3AD4"/>
    <w:pPr>
      <w:spacing w:before="120" w:after="120"/>
    </w:pPr>
    <w:rPr>
      <w:rFonts w:ascii="Arial" w:hAnsi="Arial"/>
      <w:b/>
      <w:color w:val="918585"/>
      <w:sz w:val="24"/>
    </w:rPr>
  </w:style>
  <w:style w:type="paragraph" w:styleId="Header">
    <w:name w:val="header"/>
    <w:basedOn w:val="Normal"/>
    <w:link w:val="HeaderChar"/>
    <w:rsid w:val="00FF3A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AD4"/>
    <w:rPr>
      <w:rFonts w:ascii="Times New Roman" w:eastAsia="Times New Roman" w:hAnsi="Times New Roman" w:cs="Times New Roman"/>
      <w:sz w:val="16"/>
      <w:szCs w:val="20"/>
      <w:lang w:val="en-GB" w:eastAsia="en-US"/>
    </w:rPr>
  </w:style>
  <w:style w:type="paragraph" w:customStyle="1" w:styleId="Chapter">
    <w:name w:val="Chapter"/>
    <w:basedOn w:val="Normal"/>
    <w:rsid w:val="00FF3AD4"/>
    <w:pPr>
      <w:spacing w:before="240"/>
    </w:pPr>
    <w:rPr>
      <w:rFonts w:ascii="Times New Roman" w:hAnsi="Times New Roman"/>
      <w:smallCaps/>
      <w:spacing w:val="80"/>
      <w:sz w:val="28"/>
    </w:rPr>
  </w:style>
  <w:style w:type="paragraph" w:customStyle="1" w:styleId="InChapter">
    <w:name w:val="InChapter"/>
    <w:basedOn w:val="Heading3"/>
    <w:rsid w:val="00FF3AD4"/>
    <w:pPr>
      <w:spacing w:after="240"/>
      <w:outlineLvl w:val="9"/>
    </w:pPr>
    <w:rPr>
      <w:noProof/>
    </w:rPr>
  </w:style>
  <w:style w:type="paragraph" w:styleId="Index2">
    <w:name w:val="index 2"/>
    <w:basedOn w:val="Normal"/>
    <w:next w:val="Normal"/>
    <w:semiHidden/>
    <w:rsid w:val="00FF3AD4"/>
    <w:pPr>
      <w:tabs>
        <w:tab w:val="right" w:pos="4176"/>
      </w:tabs>
      <w:ind w:left="568" w:hanging="284"/>
    </w:pPr>
    <w:rPr>
      <w:rFonts w:ascii="Garamond" w:hAnsi="Garamond"/>
    </w:rPr>
  </w:style>
  <w:style w:type="paragraph" w:customStyle="1" w:styleId="Byline">
    <w:name w:val="Byline"/>
    <w:rsid w:val="00FF3A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AD4"/>
    <w:pPr>
      <w:tabs>
        <w:tab w:val="clear" w:pos="3600"/>
        <w:tab w:val="clear" w:pos="3958"/>
      </w:tabs>
      <w:jc w:val="right"/>
    </w:pPr>
  </w:style>
  <w:style w:type="character" w:styleId="Emphasis">
    <w:name w:val="Emphasis"/>
    <w:basedOn w:val="DefaultParagraphFont"/>
    <w:qFormat/>
    <w:rsid w:val="00FF3AD4"/>
    <w:rPr>
      <w:i/>
    </w:rPr>
  </w:style>
  <w:style w:type="paragraph" w:styleId="Caption">
    <w:name w:val="caption"/>
    <w:basedOn w:val="BodyText"/>
    <w:next w:val="Normal"/>
    <w:qFormat/>
    <w:rsid w:val="00FF3AD4"/>
    <w:pPr>
      <w:framePr w:w="2268" w:hSpace="181" w:vSpace="181" w:wrap="around" w:vAnchor="text" w:hAnchor="page" w:x="1135" w:y="285" w:anchorLock="1"/>
    </w:pPr>
    <w:rPr>
      <w:i/>
    </w:rPr>
  </w:style>
  <w:style w:type="paragraph" w:customStyle="1" w:styleId="MiniTOCTitle">
    <w:name w:val="MiniTOCTitle"/>
    <w:basedOn w:val="Heading4"/>
    <w:rsid w:val="00FF3AD4"/>
    <w:pPr>
      <w:spacing w:before="240"/>
      <w:outlineLvl w:val="9"/>
    </w:pPr>
    <w:rPr>
      <w:noProof/>
      <w:sz w:val="24"/>
    </w:rPr>
  </w:style>
  <w:style w:type="paragraph" w:customStyle="1" w:styleId="MiniTOCItem">
    <w:name w:val="MiniTOCItem"/>
    <w:basedOn w:val="ListBullet"/>
    <w:rsid w:val="00FF3AD4"/>
    <w:pPr>
      <w:numPr>
        <w:numId w:val="0"/>
      </w:numPr>
      <w:tabs>
        <w:tab w:val="right" w:leader="dot" w:pos="6521"/>
      </w:tabs>
      <w:spacing w:before="0" w:after="0"/>
    </w:pPr>
  </w:style>
  <w:style w:type="paragraph" w:customStyle="1" w:styleId="TOFTitle">
    <w:name w:val="TOFTitle"/>
    <w:basedOn w:val="TOCTitle"/>
    <w:rsid w:val="00FF3AD4"/>
  </w:style>
  <w:style w:type="paragraph" w:styleId="TableofFigures">
    <w:name w:val="table of figures"/>
    <w:basedOn w:val="Normal"/>
    <w:next w:val="Normal"/>
    <w:semiHidden/>
    <w:rsid w:val="00FF3AD4"/>
    <w:pPr>
      <w:tabs>
        <w:tab w:val="right" w:leader="dot" w:pos="9072"/>
      </w:tabs>
      <w:ind w:left="970" w:hanging="403"/>
    </w:pPr>
    <w:rPr>
      <w:rFonts w:ascii="Times New Roman" w:hAnsi="Times New Roman"/>
      <w:b/>
    </w:rPr>
  </w:style>
  <w:style w:type="paragraph" w:styleId="ListNumber">
    <w:name w:val="List Number"/>
    <w:basedOn w:val="List"/>
    <w:rsid w:val="00FF3AD4"/>
    <w:pPr>
      <w:numPr>
        <w:numId w:val="15"/>
      </w:numPr>
      <w:tabs>
        <w:tab w:val="clear" w:pos="340"/>
      </w:tabs>
    </w:pPr>
  </w:style>
  <w:style w:type="character" w:customStyle="1" w:styleId="WingdingSymbols">
    <w:name w:val="Wingding Symbols"/>
    <w:rsid w:val="00FF3AD4"/>
    <w:rPr>
      <w:rFonts w:ascii="Wingdings" w:hAnsi="Wingdings"/>
    </w:rPr>
  </w:style>
  <w:style w:type="paragraph" w:customStyle="1" w:styleId="TableHeading">
    <w:name w:val="Table Heading"/>
    <w:basedOn w:val="HeadingBase"/>
    <w:rsid w:val="00FF3AD4"/>
    <w:pPr>
      <w:keepLines/>
      <w:pBdr>
        <w:bottom w:val="single" w:sz="6" w:space="1" w:color="918585"/>
      </w:pBdr>
      <w:spacing w:before="240"/>
    </w:pPr>
  </w:style>
  <w:style w:type="character" w:customStyle="1" w:styleId="HotSpot">
    <w:name w:val="HotSpot"/>
    <w:rsid w:val="00FF3AD4"/>
    <w:rPr>
      <w:color w:val="0033CC"/>
      <w:u w:val="none"/>
    </w:rPr>
  </w:style>
  <w:style w:type="paragraph" w:customStyle="1" w:styleId="BodyTextRight">
    <w:name w:val="Body Text Right"/>
    <w:basedOn w:val="BodyText"/>
    <w:rsid w:val="00FF3AD4"/>
    <w:pPr>
      <w:spacing w:before="0" w:after="0"/>
      <w:jc w:val="right"/>
    </w:pPr>
  </w:style>
  <w:style w:type="paragraph" w:styleId="Index3">
    <w:name w:val="index 3"/>
    <w:basedOn w:val="ListNumber2"/>
    <w:next w:val="Normal"/>
    <w:semiHidden/>
    <w:rsid w:val="00FF3AD4"/>
    <w:pPr>
      <w:numPr>
        <w:numId w:val="0"/>
      </w:numPr>
      <w:tabs>
        <w:tab w:val="right" w:leader="dot" w:pos="4176"/>
      </w:tabs>
    </w:pPr>
  </w:style>
  <w:style w:type="paragraph" w:styleId="ListNumber2">
    <w:name w:val="List Number 2"/>
    <w:basedOn w:val="List2"/>
    <w:rsid w:val="00FF3AD4"/>
    <w:pPr>
      <w:numPr>
        <w:numId w:val="10"/>
      </w:numPr>
      <w:tabs>
        <w:tab w:val="clear" w:pos="1060"/>
      </w:tabs>
    </w:pPr>
  </w:style>
  <w:style w:type="paragraph" w:customStyle="1" w:styleId="MarginNote">
    <w:name w:val="Margin Note"/>
    <w:basedOn w:val="BodyText"/>
    <w:rsid w:val="00FF3A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A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A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AD4"/>
    <w:rPr>
      <w:sz w:val="32"/>
    </w:rPr>
  </w:style>
  <w:style w:type="paragraph" w:customStyle="1" w:styleId="HeadingProcedure">
    <w:name w:val="Heading Procedure"/>
    <w:basedOn w:val="HeadingBase"/>
    <w:next w:val="Normal"/>
    <w:rsid w:val="00FF3AD4"/>
    <w:pPr>
      <w:tabs>
        <w:tab w:val="left" w:pos="0"/>
      </w:tabs>
      <w:spacing w:before="120" w:after="60"/>
    </w:pPr>
    <w:rPr>
      <w:i/>
      <w:color w:val="918585"/>
      <w:sz w:val="22"/>
    </w:rPr>
  </w:style>
  <w:style w:type="paragraph" w:customStyle="1" w:styleId="TableBodyText">
    <w:name w:val="Table Body Text"/>
    <w:basedOn w:val="BodyText"/>
    <w:rsid w:val="00FF3AD4"/>
    <w:pPr>
      <w:spacing w:before="60" w:after="60"/>
    </w:pPr>
  </w:style>
  <w:style w:type="paragraph" w:styleId="ListContinue">
    <w:name w:val="List Continue"/>
    <w:basedOn w:val="List"/>
    <w:rsid w:val="00FF3AD4"/>
    <w:pPr>
      <w:ind w:firstLine="0"/>
    </w:pPr>
  </w:style>
  <w:style w:type="paragraph" w:customStyle="1" w:styleId="ListNote">
    <w:name w:val="List Note"/>
    <w:basedOn w:val="List"/>
    <w:rsid w:val="00FF3AD4"/>
    <w:pPr>
      <w:pBdr>
        <w:top w:val="single" w:sz="6" w:space="2" w:color="918585"/>
        <w:bottom w:val="single" w:sz="6" w:space="2" w:color="918585"/>
      </w:pBdr>
      <w:tabs>
        <w:tab w:val="left" w:pos="1021"/>
      </w:tabs>
      <w:ind w:firstLine="0"/>
    </w:pPr>
  </w:style>
  <w:style w:type="paragraph" w:customStyle="1" w:styleId="Warning">
    <w:name w:val="Warning"/>
    <w:basedOn w:val="BodyText"/>
    <w:rsid w:val="00FF3AD4"/>
    <w:pPr>
      <w:shd w:val="clear" w:color="auto" w:fill="D9D9D9"/>
      <w:tabs>
        <w:tab w:val="left" w:pos="992"/>
      </w:tabs>
      <w:ind w:left="119" w:right="119"/>
    </w:pPr>
    <w:rPr>
      <w:sz w:val="20"/>
    </w:rPr>
  </w:style>
  <w:style w:type="paragraph" w:customStyle="1" w:styleId="MarginIcons">
    <w:name w:val="Margin Icons"/>
    <w:basedOn w:val="BodyText"/>
    <w:rsid w:val="00FF3A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AD4"/>
    <w:rPr>
      <w:rFonts w:ascii="Courier New" w:hAnsi="Courier New"/>
    </w:rPr>
  </w:style>
  <w:style w:type="paragraph" w:customStyle="1" w:styleId="NoteBullet">
    <w:name w:val="Note Bullet"/>
    <w:basedOn w:val="Note"/>
    <w:rsid w:val="00FF3AD4"/>
    <w:pPr>
      <w:tabs>
        <w:tab w:val="clear" w:pos="680"/>
      </w:tabs>
      <w:spacing w:before="60" w:after="60"/>
    </w:pPr>
  </w:style>
  <w:style w:type="paragraph" w:customStyle="1" w:styleId="SubHeading2">
    <w:name w:val="SubHeading2"/>
    <w:basedOn w:val="HeadingBase"/>
    <w:rsid w:val="00FF3AD4"/>
    <w:pPr>
      <w:spacing w:before="240" w:after="60"/>
    </w:pPr>
    <w:rPr>
      <w:sz w:val="20"/>
    </w:rPr>
  </w:style>
  <w:style w:type="paragraph" w:customStyle="1" w:styleId="SubHeading1">
    <w:name w:val="SubHeading1"/>
    <w:basedOn w:val="HeadingBase"/>
    <w:rsid w:val="00FF3AD4"/>
    <w:pPr>
      <w:spacing w:before="240" w:after="60"/>
    </w:pPr>
    <w:rPr>
      <w:color w:val="918585"/>
      <w:sz w:val="22"/>
    </w:rPr>
  </w:style>
  <w:style w:type="paragraph" w:customStyle="1" w:styleId="SideHeading">
    <w:name w:val="Side Heading"/>
    <w:basedOn w:val="HeadingBase"/>
    <w:rsid w:val="00FF3A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AD4"/>
    <w:pPr>
      <w:tabs>
        <w:tab w:val="num" w:pos="360"/>
      </w:tabs>
    </w:pPr>
  </w:style>
  <w:style w:type="paragraph" w:styleId="PlainText">
    <w:name w:val="Plain Text"/>
    <w:basedOn w:val="Normal"/>
    <w:link w:val="PlainTextChar"/>
    <w:rsid w:val="00FF3AD4"/>
    <w:rPr>
      <w:sz w:val="20"/>
    </w:rPr>
  </w:style>
  <w:style w:type="character" w:customStyle="1" w:styleId="PlainTextChar">
    <w:name w:val="Plain Text Char"/>
    <w:basedOn w:val="DefaultParagraphFont"/>
    <w:link w:val="PlainText"/>
    <w:rsid w:val="00FF3AD4"/>
    <w:rPr>
      <w:rFonts w:ascii="Courier New" w:eastAsia="Times New Roman" w:hAnsi="Courier New" w:cs="Times New Roman"/>
      <w:sz w:val="20"/>
      <w:szCs w:val="20"/>
      <w:lang w:eastAsia="en-US"/>
    </w:rPr>
  </w:style>
  <w:style w:type="character" w:customStyle="1" w:styleId="MenuOption">
    <w:name w:val="Menu Option"/>
    <w:basedOn w:val="DefaultParagraphFont"/>
    <w:rsid w:val="00FF3AD4"/>
    <w:rPr>
      <w:b/>
      <w:smallCaps/>
    </w:rPr>
  </w:style>
  <w:style w:type="paragraph" w:customStyle="1" w:styleId="TableListNumber">
    <w:name w:val="Table List Number"/>
    <w:basedOn w:val="ListNumber"/>
    <w:rsid w:val="00FF3AD4"/>
    <w:pPr>
      <w:numPr>
        <w:numId w:val="0"/>
      </w:numPr>
    </w:pPr>
  </w:style>
  <w:style w:type="paragraph" w:styleId="TOC4">
    <w:name w:val="toc 4"/>
    <w:basedOn w:val="TOCBase"/>
    <w:next w:val="Normal"/>
    <w:semiHidden/>
    <w:rsid w:val="00FF3AD4"/>
    <w:pPr>
      <w:tabs>
        <w:tab w:val="right" w:leader="dot" w:pos="9071"/>
      </w:tabs>
      <w:ind w:left="1701"/>
    </w:pPr>
  </w:style>
  <w:style w:type="paragraph" w:customStyle="1" w:styleId="ListAlpha">
    <w:name w:val="List Alpha"/>
    <w:basedOn w:val="List"/>
    <w:rsid w:val="00FF3AD4"/>
    <w:pPr>
      <w:numPr>
        <w:numId w:val="9"/>
      </w:numPr>
    </w:pPr>
  </w:style>
  <w:style w:type="paragraph" w:customStyle="1" w:styleId="ListAlpha2">
    <w:name w:val="List Alpha 2"/>
    <w:basedOn w:val="List2"/>
    <w:rsid w:val="00FF3AD4"/>
    <w:pPr>
      <w:numPr>
        <w:numId w:val="8"/>
      </w:numPr>
    </w:pPr>
  </w:style>
  <w:style w:type="paragraph" w:styleId="List2">
    <w:name w:val="List 2"/>
    <w:basedOn w:val="BodyText"/>
    <w:rsid w:val="00FF3AD4"/>
    <w:pPr>
      <w:tabs>
        <w:tab w:val="left" w:pos="680"/>
      </w:tabs>
      <w:spacing w:before="60" w:after="60"/>
      <w:ind w:left="680" w:hanging="340"/>
    </w:pPr>
  </w:style>
  <w:style w:type="paragraph" w:styleId="List3">
    <w:name w:val="List 3"/>
    <w:basedOn w:val="BodyText"/>
    <w:rsid w:val="00FF3AD4"/>
    <w:pPr>
      <w:tabs>
        <w:tab w:val="left" w:pos="1021"/>
      </w:tabs>
      <w:spacing w:before="60" w:after="60"/>
      <w:ind w:left="1020" w:hanging="340"/>
    </w:pPr>
  </w:style>
  <w:style w:type="paragraph" w:styleId="List4">
    <w:name w:val="List 4"/>
    <w:basedOn w:val="BodyText"/>
    <w:rsid w:val="00FF3AD4"/>
    <w:pPr>
      <w:tabs>
        <w:tab w:val="left" w:pos="1361"/>
      </w:tabs>
      <w:spacing w:before="60" w:after="60"/>
      <w:ind w:left="1361" w:hanging="340"/>
    </w:pPr>
  </w:style>
  <w:style w:type="paragraph" w:styleId="List5">
    <w:name w:val="List 5"/>
    <w:basedOn w:val="BodyText"/>
    <w:rsid w:val="00FF3AD4"/>
    <w:pPr>
      <w:tabs>
        <w:tab w:val="left" w:pos="1701"/>
      </w:tabs>
      <w:spacing w:before="60" w:after="60"/>
      <w:ind w:left="1701" w:hanging="340"/>
    </w:pPr>
  </w:style>
  <w:style w:type="paragraph" w:styleId="ListBullet3">
    <w:name w:val="List Bullet 3"/>
    <w:basedOn w:val="List3"/>
    <w:rsid w:val="00FF3AD4"/>
    <w:pPr>
      <w:numPr>
        <w:numId w:val="14"/>
      </w:numPr>
      <w:tabs>
        <w:tab w:val="clear" w:pos="1021"/>
      </w:tabs>
      <w:ind w:left="1037" w:hanging="357"/>
    </w:pPr>
  </w:style>
  <w:style w:type="paragraph" w:styleId="ListBullet4">
    <w:name w:val="List Bullet 4"/>
    <w:basedOn w:val="List4"/>
    <w:rsid w:val="00FF3AD4"/>
    <w:pPr>
      <w:numPr>
        <w:numId w:val="3"/>
      </w:numPr>
      <w:tabs>
        <w:tab w:val="clear" w:pos="1361"/>
      </w:tabs>
    </w:pPr>
  </w:style>
  <w:style w:type="paragraph" w:styleId="ListBullet5">
    <w:name w:val="List Bullet 5"/>
    <w:basedOn w:val="List5"/>
    <w:rsid w:val="00FF3AD4"/>
    <w:pPr>
      <w:numPr>
        <w:numId w:val="4"/>
      </w:numPr>
    </w:pPr>
  </w:style>
  <w:style w:type="paragraph" w:styleId="ListContinue2">
    <w:name w:val="List Continue 2"/>
    <w:basedOn w:val="List2"/>
    <w:rsid w:val="00FF3AD4"/>
    <w:pPr>
      <w:ind w:firstLine="0"/>
    </w:pPr>
  </w:style>
  <w:style w:type="paragraph" w:styleId="ListContinue3">
    <w:name w:val="List Continue 3"/>
    <w:basedOn w:val="List3"/>
    <w:rsid w:val="00FF3AD4"/>
    <w:pPr>
      <w:ind w:left="1021" w:firstLine="0"/>
    </w:pPr>
  </w:style>
  <w:style w:type="paragraph" w:styleId="ListContinue4">
    <w:name w:val="List Continue 4"/>
    <w:basedOn w:val="List4"/>
    <w:rsid w:val="00FF3AD4"/>
    <w:pPr>
      <w:ind w:firstLine="0"/>
    </w:pPr>
  </w:style>
  <w:style w:type="paragraph" w:styleId="ListContinue5">
    <w:name w:val="List Continue 5"/>
    <w:basedOn w:val="List5"/>
    <w:rsid w:val="00FF3AD4"/>
    <w:pPr>
      <w:ind w:firstLine="0"/>
    </w:pPr>
  </w:style>
  <w:style w:type="paragraph" w:styleId="ListNumber3">
    <w:name w:val="List Number 3"/>
    <w:basedOn w:val="List3"/>
    <w:rsid w:val="00FF3AD4"/>
    <w:pPr>
      <w:numPr>
        <w:numId w:val="5"/>
      </w:numPr>
    </w:pPr>
  </w:style>
  <w:style w:type="paragraph" w:styleId="ListNumber4">
    <w:name w:val="List Number 4"/>
    <w:basedOn w:val="List4"/>
    <w:rsid w:val="00FF3AD4"/>
    <w:pPr>
      <w:numPr>
        <w:numId w:val="6"/>
      </w:numPr>
    </w:pPr>
  </w:style>
  <w:style w:type="paragraph" w:styleId="ListNumber5">
    <w:name w:val="List Number 5"/>
    <w:basedOn w:val="List5"/>
    <w:rsid w:val="00FF3AD4"/>
    <w:pPr>
      <w:numPr>
        <w:numId w:val="7"/>
      </w:numPr>
    </w:pPr>
  </w:style>
  <w:style w:type="paragraph" w:styleId="BlockText">
    <w:name w:val="Block Text"/>
    <w:basedOn w:val="Normal"/>
    <w:rsid w:val="00FF3AD4"/>
    <w:pPr>
      <w:spacing w:after="120"/>
      <w:ind w:left="1440" w:right="1440"/>
    </w:pPr>
  </w:style>
  <w:style w:type="character" w:customStyle="1" w:styleId="Subscript">
    <w:name w:val="Subscript"/>
    <w:basedOn w:val="DefaultParagraphFont"/>
    <w:rsid w:val="00FF3AD4"/>
    <w:rPr>
      <w:sz w:val="16"/>
      <w:vertAlign w:val="subscript"/>
    </w:rPr>
  </w:style>
  <w:style w:type="character" w:customStyle="1" w:styleId="Superscript">
    <w:name w:val="Superscript"/>
    <w:basedOn w:val="DefaultParagraphFont"/>
    <w:rsid w:val="00FF3AD4"/>
    <w:rPr>
      <w:sz w:val="16"/>
      <w:vertAlign w:val="superscript"/>
    </w:rPr>
  </w:style>
  <w:style w:type="character" w:customStyle="1" w:styleId="Symbols">
    <w:name w:val="Symbols"/>
    <w:basedOn w:val="DefaultParagraphFont"/>
    <w:rsid w:val="00FF3AD4"/>
    <w:rPr>
      <w:rFonts w:ascii="Symbol" w:hAnsi="Symbol"/>
    </w:rPr>
  </w:style>
  <w:style w:type="character" w:customStyle="1" w:styleId="MenuOptions">
    <w:name w:val="Menu Options"/>
    <w:basedOn w:val="DefaultParagraphFont"/>
    <w:rsid w:val="00FF3AD4"/>
    <w:rPr>
      <w:rFonts w:ascii="Arial Narrow" w:hAnsi="Arial Narrow"/>
      <w:smallCaps/>
    </w:rPr>
  </w:style>
  <w:style w:type="character" w:customStyle="1" w:styleId="Buttons">
    <w:name w:val="Buttons"/>
    <w:basedOn w:val="DefaultParagraphFont"/>
    <w:rsid w:val="00FF3AD4"/>
    <w:rPr>
      <w:b/>
    </w:rPr>
  </w:style>
  <w:style w:type="character" w:customStyle="1" w:styleId="Underlined">
    <w:name w:val="Underlined"/>
    <w:basedOn w:val="DefaultParagraphFont"/>
    <w:rsid w:val="00FF3AD4"/>
    <w:rPr>
      <w:u w:val="single"/>
    </w:rPr>
  </w:style>
  <w:style w:type="paragraph" w:customStyle="1" w:styleId="TableBodyTextRight">
    <w:name w:val="Table Body Text Right"/>
    <w:basedOn w:val="TableBodyText"/>
    <w:rsid w:val="00FF3AD4"/>
    <w:pPr>
      <w:widowControl w:val="0"/>
      <w:autoSpaceDE w:val="0"/>
      <w:autoSpaceDN w:val="0"/>
      <w:adjustRightInd w:val="0"/>
      <w:jc w:val="right"/>
    </w:pPr>
    <w:rPr>
      <w:rFonts w:cs="Arial"/>
      <w:szCs w:val="18"/>
    </w:rPr>
  </w:style>
  <w:style w:type="paragraph" w:customStyle="1" w:styleId="CopyrightText">
    <w:name w:val="Copyright Text"/>
    <w:basedOn w:val="BodyText"/>
    <w:rsid w:val="00FF3AD4"/>
    <w:rPr>
      <w:sz w:val="18"/>
    </w:rPr>
  </w:style>
  <w:style w:type="paragraph" w:customStyle="1" w:styleId="BodySmallRight">
    <w:name w:val="Body Small Right"/>
    <w:basedOn w:val="BodyTextRight"/>
    <w:rsid w:val="00FF3AD4"/>
    <w:rPr>
      <w:sz w:val="18"/>
      <w:szCs w:val="18"/>
    </w:rPr>
  </w:style>
  <w:style w:type="paragraph" w:customStyle="1" w:styleId="MarginEdition">
    <w:name w:val="Margin Edition"/>
    <w:basedOn w:val="MarginNote"/>
    <w:rsid w:val="00FF3AD4"/>
    <w:pPr>
      <w:spacing w:before="0" w:after="0"/>
    </w:pPr>
    <w:rPr>
      <w:rFonts w:ascii="Times New Roman" w:hAnsi="Times New Roman"/>
      <w:color w:val="999999"/>
    </w:rPr>
  </w:style>
  <w:style w:type="paragraph" w:customStyle="1" w:styleId="Spacer">
    <w:name w:val="Spacer"/>
    <w:basedOn w:val="Normal"/>
    <w:rsid w:val="00FF3AD4"/>
    <w:rPr>
      <w:sz w:val="2"/>
      <w:szCs w:val="2"/>
    </w:rPr>
  </w:style>
  <w:style w:type="character" w:customStyle="1" w:styleId="Small">
    <w:name w:val="Small"/>
    <w:basedOn w:val="DefaultParagraphFont"/>
    <w:rsid w:val="00FF3AD4"/>
    <w:rPr>
      <w:sz w:val="16"/>
    </w:rPr>
  </w:style>
  <w:style w:type="paragraph" w:customStyle="1" w:styleId="WideTable">
    <w:name w:val="Wide Table"/>
    <w:basedOn w:val="Normal"/>
    <w:rsid w:val="00FF3AD4"/>
    <w:pPr>
      <w:ind w:left="-1418"/>
    </w:pPr>
    <w:rPr>
      <w:sz w:val="2"/>
      <w:szCs w:val="2"/>
    </w:rPr>
  </w:style>
  <w:style w:type="character" w:styleId="PageNumber">
    <w:name w:val="page number"/>
    <w:basedOn w:val="DefaultParagraphFont"/>
    <w:rsid w:val="00FF3AD4"/>
  </w:style>
  <w:style w:type="paragraph" w:styleId="Quote">
    <w:name w:val="Quote"/>
    <w:basedOn w:val="Heading1"/>
    <w:link w:val="QuoteChar"/>
    <w:qFormat/>
    <w:rsid w:val="00FF3AD4"/>
    <w:rPr>
      <w:b w:val="0"/>
      <w:sz w:val="72"/>
      <w:szCs w:val="72"/>
      <w:lang w:val="en-NZ"/>
    </w:rPr>
  </w:style>
  <w:style w:type="character" w:customStyle="1" w:styleId="QuoteChar">
    <w:name w:val="Quote Char"/>
    <w:basedOn w:val="DefaultParagraphFont"/>
    <w:link w:val="Quote"/>
    <w:rsid w:val="00FF3A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AD4"/>
    <w:pPr>
      <w:pageBreakBefore/>
    </w:pPr>
  </w:style>
  <w:style w:type="paragraph" w:customStyle="1" w:styleId="Border">
    <w:name w:val="Border"/>
    <w:basedOn w:val="Normal"/>
    <w:qFormat/>
    <w:rsid w:val="00FF3A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AD4"/>
    <w:rPr>
      <w:b/>
      <w:bCs/>
      <w:i/>
      <w:iCs/>
      <w:color w:val="auto"/>
    </w:rPr>
  </w:style>
  <w:style w:type="paragraph" w:styleId="IntenseQuote">
    <w:name w:val="Intense Quote"/>
    <w:basedOn w:val="Normal"/>
    <w:next w:val="Normal"/>
    <w:link w:val="IntenseQuoteChar"/>
    <w:uiPriority w:val="30"/>
    <w:qFormat/>
    <w:rsid w:val="00FF3A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A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AD4"/>
    <w:rPr>
      <w:smallCaps/>
      <w:color w:val="auto"/>
      <w:u w:val="single"/>
    </w:rPr>
  </w:style>
  <w:style w:type="character" w:styleId="IntenseReference">
    <w:name w:val="Intense Reference"/>
    <w:basedOn w:val="DefaultParagraphFont"/>
    <w:uiPriority w:val="32"/>
    <w:qFormat/>
    <w:rsid w:val="00FF3AD4"/>
    <w:rPr>
      <w:b/>
      <w:bCs/>
      <w:smallCaps/>
      <w:color w:val="auto"/>
      <w:spacing w:val="5"/>
      <w:u w:val="single"/>
    </w:rPr>
  </w:style>
  <w:style w:type="paragraph" w:customStyle="1" w:styleId="2ColumnHeading">
    <w:name w:val="2Column Heading"/>
    <w:basedOn w:val="BodyText"/>
    <w:qFormat/>
    <w:rsid w:val="00FF3AD4"/>
    <w:pPr>
      <w:spacing w:after="60"/>
      <w:ind w:left="-2268"/>
    </w:pPr>
    <w:rPr>
      <w:b/>
    </w:rPr>
  </w:style>
  <w:style w:type="paragraph" w:customStyle="1" w:styleId="Heading1TOC">
    <w:name w:val="Heading1 TOC"/>
    <w:basedOn w:val="Normal"/>
    <w:qFormat/>
    <w:rsid w:val="00FF3AD4"/>
    <w:pPr>
      <w:spacing w:before="240" w:after="120"/>
    </w:pPr>
    <w:rPr>
      <w:rFonts w:ascii="Times New Roman" w:hAnsi="Times New Roman"/>
      <w:b/>
      <w:sz w:val="32"/>
    </w:rPr>
  </w:style>
  <w:style w:type="paragraph" w:customStyle="1" w:styleId="Heading2TOC">
    <w:name w:val="Heading2 TOC"/>
    <w:basedOn w:val="Normal"/>
    <w:qFormat/>
    <w:rsid w:val="00FF3AD4"/>
    <w:pPr>
      <w:spacing w:before="240" w:after="60"/>
    </w:pPr>
    <w:rPr>
      <w:rFonts w:ascii="Times New Roman" w:hAnsi="Times New Roman"/>
      <w:b/>
      <w:sz w:val="28"/>
    </w:rPr>
  </w:style>
  <w:style w:type="character" w:customStyle="1" w:styleId="Underline">
    <w:name w:val="Underline"/>
    <w:basedOn w:val="DefaultParagraphFont"/>
    <w:qFormat/>
    <w:rsid w:val="00FF3AD4"/>
    <w:rPr>
      <w:u w:val="single"/>
    </w:rPr>
  </w:style>
  <w:style w:type="paragraph" w:styleId="BalloonText">
    <w:name w:val="Balloon Text"/>
    <w:basedOn w:val="Normal"/>
    <w:link w:val="BalloonTextChar"/>
    <w:rsid w:val="00FF3AD4"/>
    <w:rPr>
      <w:rFonts w:ascii="Tahoma" w:hAnsi="Tahoma" w:cs="Tahoma"/>
      <w:sz w:val="16"/>
      <w:szCs w:val="16"/>
    </w:rPr>
  </w:style>
  <w:style w:type="character" w:customStyle="1" w:styleId="BalloonTextChar">
    <w:name w:val="Balloon Text Char"/>
    <w:basedOn w:val="DefaultParagraphFont"/>
    <w:link w:val="BalloonText"/>
    <w:rsid w:val="00FF3A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A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A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AD4"/>
    <w:rPr>
      <w:b/>
      <w:color w:val="660033"/>
      <w:spacing w:val="0"/>
    </w:rPr>
  </w:style>
  <w:style w:type="paragraph" w:customStyle="1" w:styleId="Nameditemlist">
    <w:name w:val="Named item list"/>
    <w:basedOn w:val="BodyText"/>
    <w:qFormat/>
    <w:rsid w:val="00FF3AD4"/>
    <w:pPr>
      <w:tabs>
        <w:tab w:val="left" w:pos="2835"/>
      </w:tabs>
      <w:ind w:left="2835" w:hanging="2835"/>
    </w:pPr>
  </w:style>
  <w:style w:type="paragraph" w:customStyle="1" w:styleId="BodyTextnopadding">
    <w:name w:val="Body Text no padding"/>
    <w:basedOn w:val="BodyText"/>
    <w:qFormat/>
    <w:rsid w:val="00FF3AD4"/>
    <w:pPr>
      <w:spacing w:before="0" w:after="0"/>
    </w:pPr>
  </w:style>
  <w:style w:type="paragraph" w:customStyle="1" w:styleId="BodyTextBold">
    <w:name w:val="Body Text Bold"/>
    <w:basedOn w:val="BodyText"/>
    <w:qFormat/>
    <w:rsid w:val="00FF3AD4"/>
    <w:rPr>
      <w:b/>
    </w:rPr>
  </w:style>
  <w:style w:type="character" w:styleId="Hyperlink">
    <w:name w:val="Hyperlink"/>
    <w:basedOn w:val="DefaultParagraphFont"/>
    <w:uiPriority w:val="99"/>
    <w:unhideWhenUsed/>
    <w:rsid w:val="00B35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1077</Words>
  <Characters>6876</Characters>
  <Application>Microsoft Office Word</Application>
  <DocSecurity>0</DocSecurity>
  <Lines>286</Lines>
  <Paragraphs>139</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CPCCBS6011 Conduct and report on building surveying audits of commercial buildings up to three storeys</dc:title>
  <dc:subject>Approved</dc:subject>
  <dc:creator>Artibus Innovation</dc:creator>
  <cp:keywords>Release: 2</cp:keywords>
  <dc:description>Review Date: 12 April 2008</dc:description>
  <cp:lastModifiedBy>HSD_TPCMSd.prod</cp:lastModifiedBy>
  <cp:revision>3</cp:revision>
  <dcterms:created xsi:type="dcterms:W3CDTF">2020-12-23T10:18:00Z</dcterms:created>
  <dcterms:modified xsi:type="dcterms:W3CDTF">2020-12-23T10:18:00Z</dcterms:modified>
</cp:coreProperties>
</file>