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211" w:rsidP="00273211">
      <w:pPr>
        <w:pStyle w:val="Title"/>
      </w:pPr>
      <w:r>
        <w:fldChar w:fldCharType="begin"/>
      </w:r>
      <w:r>
        <w:instrText xml:space="preserve"> TITLE   \* MERGEFORMAT </w:instrText>
      </w:r>
      <w:r>
        <w:fldChar w:fldCharType="separate"/>
      </w:r>
      <w:r>
        <w:t>CPCCBS6006 Process planning applications for residential buildings up to three storeys</w:t>
      </w:r>
      <w:r>
        <w:fldChar w:fldCharType="end"/>
      </w:r>
    </w:p>
    <w:p w:rsidR="00273211" w:rsidP="00273211">
      <w:pPr>
        <w:pStyle w:val="Version"/>
        <w:sectPr w:rsidSect="007D6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7F2" w:rsidP="007D67F2">
      <w:pPr>
        <w:pStyle w:val="SuperHeading"/>
      </w:pPr>
      <w:r w:rsidRPr="007D67F2">
        <w:t>CPCCBS6006 Process planning applications for residential buildings up to three storeys</w:t>
      </w:r>
    </w:p>
    <w:p w:rsidR="00000000" w:rsidRPr="007D67F2" w:rsidP="007D67F2">
      <w:pPr>
        <w:pStyle w:val="Heading1"/>
      </w:pPr>
      <w:bookmarkStart w:id="1" w:name="O_733915"/>
      <w:bookmarkEnd w:id="1"/>
      <w:r w:rsidRPr="007D67F2">
        <w:t>Modification History</w:t>
      </w:r>
    </w:p>
    <w:p w:rsidR="00000000" w:rsidRPr="007D67F2" w:rsidP="00273211">
      <w:pPr>
        <w:pStyle w:val="BodyText"/>
      </w:pPr>
      <w:r w:rsidRPr="007D67F2">
        <w:t>Release 1.</w:t>
      </w:r>
    </w:p>
    <w:p w:rsidR="00000000" w:rsidRPr="007D67F2" w:rsidP="00273211">
      <w:pPr>
        <w:pStyle w:val="BodyText"/>
      </w:pPr>
      <w:r w:rsidRPr="007D67F2">
        <w:t>This version first released with CPC Construction, Plumbing and Services Training Package Version 1.</w:t>
      </w:r>
    </w:p>
    <w:p w:rsidR="00000000" w:rsidRPr="007D67F2" w:rsidP="007D67F2">
      <w:pPr>
        <w:pStyle w:val="Heading1"/>
      </w:pPr>
      <w:bookmarkStart w:id="2" w:name="O_733923"/>
      <w:bookmarkEnd w:id="2"/>
      <w:r w:rsidRPr="007D67F2">
        <w:t>Application</w:t>
      </w:r>
    </w:p>
    <w:p w:rsidR="00000000" w:rsidRPr="007D67F2" w:rsidP="00273211">
      <w:pPr>
        <w:pStyle w:val="BodyText"/>
      </w:pPr>
      <w:r w:rsidRPr="007D67F2">
        <w:t>This unit of competency specifies the outcomes required to process planning applications for residential buildings in classes 1 and 10 as defined in the Building Code of Australia (BCA) and up to three storeys and not more than 2000 square metr</w:t>
      </w:r>
      <w:r w:rsidRPr="007D67F2">
        <w:t xml:space="preserve">es in floor area. </w:t>
      </w:r>
    </w:p>
    <w:p w:rsidR="00000000" w:rsidRPr="007D67F2" w:rsidP="00273211">
      <w:pPr>
        <w:pStyle w:val="BodyText"/>
      </w:pPr>
      <w:r w:rsidRPr="007D67F2">
        <w:t>The unit covers gathering and assessing documentation that supports the planning application process required to obtain planning permission.</w:t>
      </w:r>
    </w:p>
    <w:p w:rsidR="00000000" w:rsidRPr="007D67F2" w:rsidP="00273211">
      <w:pPr>
        <w:pStyle w:val="BodyText"/>
      </w:pPr>
      <w:r w:rsidRPr="007D67F2">
        <w:t>The unit supports the work of private and municipal building surveyors carrying out the statut</w:t>
      </w:r>
      <w:r w:rsidRPr="007D67F2">
        <w:t>ory role of ensuring that proposed residential building projects meet relevant compliance requirements prior to issuing planning permits.</w:t>
      </w:r>
    </w:p>
    <w:p w:rsidR="00000000" w:rsidRPr="007D67F2" w:rsidP="00273211">
      <w:pPr>
        <w:pStyle w:val="BodyText"/>
      </w:pPr>
      <w:r w:rsidRPr="007D67F2">
        <w:t>Licensing, legislative, regulatory or certification requirements apply to this unit in some States. Relevant state an</w:t>
      </w:r>
      <w:r w:rsidRPr="007D67F2">
        <w:t>d territory regulatory authorities should be consulted to confirm those requirements.</w:t>
      </w:r>
    </w:p>
    <w:p w:rsidR="00000000" w:rsidRPr="007D67F2" w:rsidP="007D67F2">
      <w:pPr>
        <w:pStyle w:val="Heading1"/>
      </w:pPr>
      <w:bookmarkStart w:id="3" w:name="O_733922"/>
      <w:bookmarkEnd w:id="3"/>
      <w:r w:rsidRPr="007D67F2">
        <w:t>Pre-requisite Unit</w:t>
      </w:r>
    </w:p>
    <w:p w:rsidR="00000000" w:rsidRPr="007D67F2" w:rsidP="00273211">
      <w:pPr>
        <w:pStyle w:val="BodyText"/>
      </w:pPr>
      <w:r w:rsidRPr="007D67F2">
        <w:t>Nil</w:t>
      </w:r>
    </w:p>
    <w:p w:rsidR="00000000" w:rsidRPr="007D67F2" w:rsidP="007D67F2">
      <w:pPr>
        <w:pStyle w:val="Heading1"/>
      </w:pPr>
      <w:bookmarkStart w:id="4" w:name="O_733921"/>
      <w:bookmarkEnd w:id="4"/>
      <w:r w:rsidRPr="007D67F2">
        <w:t>Competency Field</w:t>
      </w:r>
    </w:p>
    <w:p w:rsidR="00000000" w:rsidRPr="007D67F2" w:rsidP="00273211">
      <w:pPr>
        <w:pStyle w:val="BodyText"/>
      </w:pPr>
      <w:r w:rsidRPr="007D67F2">
        <w:t>Building surveying</w:t>
      </w:r>
    </w:p>
    <w:p w:rsidR="00000000" w:rsidRPr="007D67F2" w:rsidP="007D67F2">
      <w:pPr>
        <w:pStyle w:val="Heading1"/>
      </w:pPr>
      <w:bookmarkStart w:id="5" w:name="O_733920"/>
      <w:bookmarkEnd w:id="5"/>
      <w:r w:rsidRPr="007D67F2">
        <w:t>Unit Sector</w:t>
      </w:r>
    </w:p>
    <w:p w:rsidR="00000000" w:rsidRPr="007D67F2" w:rsidP="00273211">
      <w:pPr>
        <w:pStyle w:val="BodyText"/>
      </w:pPr>
      <w:r w:rsidRPr="007D67F2">
        <w:t>Construction</w:t>
      </w:r>
    </w:p>
    <w:p w:rsidR="00000000" w:rsidRPr="007D67F2" w:rsidP="007D67F2">
      <w:pPr>
        <w:pStyle w:val="Heading1"/>
      </w:pPr>
      <w:bookmarkStart w:id="6" w:name="O_733919"/>
      <w:bookmarkEnd w:id="6"/>
      <w:r w:rsidRPr="007D67F2">
        <w:t>Elements and Perfo</w:t>
      </w:r>
      <w:r w:rsidRPr="007D67F2">
        <w:t>rmance Criteria</w:t>
      </w:r>
    </w:p>
    <w:tbl>
      <w:tblPr>
        <w:tblW w:w="0" w:type="auto"/>
        <w:tblLayout w:type="fixed"/>
        <w:tblCellMar>
          <w:left w:w="62" w:type="dxa"/>
          <w:right w:w="62" w:type="dxa"/>
        </w:tblCellMar>
        <w:tblLook w:val="0000"/>
      </w:tblPr>
      <w:tblGrid>
        <w:gridCol w:w="540"/>
        <w:gridCol w:w="2100"/>
        <w:gridCol w:w="770"/>
        <w:gridCol w:w="5610"/>
      </w:tblGrid>
      <w:tr w:rsidTr="007D67F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Performance criteria describe the performance needed to demonstrate achievement of the element. Where bold italicised text is used, further information is detailed in the range of conditions.</w:t>
            </w:r>
          </w:p>
        </w:tc>
      </w:tr>
      <w:tr w:rsidTr="007D67F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1.</w:t>
            </w:r>
          </w:p>
        </w:tc>
        <w:tc>
          <w:tcPr>
            <w:tcW w:w="210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Plan and prepare to assess planning application.</w:t>
            </w: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1.1.</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Nature and scope of planning application are reviewed and relevant legislation, codes and local planning policies are accessed.</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1.2.</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Specific timelines and administrative requirements of the relevant</w:t>
            </w:r>
            <w:r w:rsidRPr="007D67F2">
              <w:t xml:space="preserve"> local authority are identified and clarified.</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1.3.</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Proposed development site is inspected to determine suitability for proposed works.</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1.4.</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 xml:space="preserve">Need for advice from external </w:t>
            </w:r>
            <w:r w:rsidRPr="007D67F2">
              <w:rPr>
                <w:rStyle w:val="BoldandItalics"/>
              </w:rPr>
              <w:t>consultants</w:t>
            </w:r>
            <w:r w:rsidRPr="007D67F2">
              <w:t xml:space="preserve"> with specialist expertise is identified and relevant consultants are engaged to provide advice throughout the planning application process.</w:t>
            </w:r>
          </w:p>
        </w:tc>
      </w:tr>
      <w:tr w:rsidTr="007D67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2.</w:t>
            </w:r>
          </w:p>
        </w:tc>
        <w:tc>
          <w:tcPr>
            <w:tcW w:w="210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Assess planning application documentation.</w:t>
            </w:r>
          </w:p>
        </w:tc>
        <w:tc>
          <w:tcPr>
            <w:tcW w:w="770" w:type="dxa"/>
            <w:tcBorders>
              <w:top w:val="nil"/>
              <w:left w:val="nil"/>
              <w:bottom w:val="nil"/>
              <w:right w:val="nil"/>
            </w:tcBorders>
            <w:tcMar>
              <w:top w:w="0" w:type="dxa"/>
              <w:left w:w="62" w:type="dxa"/>
              <w:bottom w:w="0" w:type="dxa"/>
              <w:right w:w="62" w:type="dxa"/>
            </w:tcMar>
          </w:tcPr>
          <w:p w:rsidR="00000000" w:rsidRPr="007D67F2" w:rsidP="007D67F2">
            <w:pPr>
              <w:pStyle w:val="BodyText"/>
            </w:pPr>
            <w:r w:rsidRPr="007D67F2">
              <w:t>2.1.</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rPr>
                <w:rStyle w:val="BoldandItalics"/>
              </w:rPr>
              <w:t>Documentation</w:t>
            </w:r>
            <w:r w:rsidRPr="007D67F2">
              <w:t xml:space="preserve"> received in support of planning application is reviewed for accuracy, currency and completeness according to local authority requirements, and further information is requested from client where necessary.</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2.2.</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Property ownership is confirmed with refer</w:t>
            </w:r>
            <w:r w:rsidRPr="007D67F2">
              <w:t>ence to titles and other relevant documentation.</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2.3.</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Documentation submitted is assessed for compliance with current and relevant local planning scheme, codes and legislation, and areas of non-compliance are documented for discussion with client.</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2.4.</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Site of proposed planning application is reviewed for possible environmental protection laws and exclusions, and compliance requirements are noted and documented for discussion with client.</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2.5.</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Design plans are assessed for compliance with relevan</w:t>
            </w:r>
            <w:r w:rsidRPr="007D67F2">
              <w:t>t legislation, codes and regulations, and areas of non-compliance are documented for discussion with client, architect or building designer.</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2.6.</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 xml:space="preserve">Required amendments to plans to ensure compliance and proposed alternative solutions are documented and </w:t>
            </w:r>
            <w:r w:rsidRPr="007D67F2">
              <w:t>com</w:t>
            </w:r>
            <w:r w:rsidRPr="007D67F2">
              <w:t>municated to client.</w:t>
            </w:r>
          </w:p>
        </w:tc>
      </w:tr>
      <w:tr w:rsidTr="007D67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3.</w:t>
            </w:r>
          </w:p>
        </w:tc>
        <w:tc>
          <w:tcPr>
            <w:tcW w:w="210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Assess revised design plans.</w:t>
            </w: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3.1.</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Revised plans and documentation re-submitted for planning approval are assessed for compliance.</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3.2.</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Design features requiring clarification are discussed with client, architect or building designer as necessary to ensure plans meet compliance requirements.</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3.3.</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Client is updated on progress of the planning application process as necessary.</w:t>
            </w:r>
          </w:p>
        </w:tc>
      </w:tr>
      <w:tr w:rsidTr="007D67F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4.</w:t>
            </w:r>
          </w:p>
        </w:tc>
        <w:tc>
          <w:tcPr>
            <w:tcW w:w="2100" w:type="dxa"/>
            <w:vMerge w:val="restart"/>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Finalise planning permits.</w:t>
            </w: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4.1.</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Public notices are arranged according to planning requirements, and objections are documented and handled according to regulations and workplace procedures.</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4.2.</w:t>
            </w:r>
          </w:p>
        </w:tc>
        <w:tc>
          <w:tcPr>
            <w:tcW w:w="561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Final planning permit is processed, including relevant conditions that ensure protection of the environment, adjacent structures and where appropriate, heritage listed structures.</w:t>
            </w:r>
          </w:p>
        </w:tc>
      </w:tr>
      <w:tr w:rsidTr="007D67F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4.3.</w:t>
            </w:r>
          </w:p>
        </w:tc>
        <w:tc>
          <w:tcPr>
            <w:tcW w:w="5610" w:type="dxa"/>
            <w:tcBorders>
              <w:top w:val="nil"/>
              <w:left w:val="nil"/>
              <w:bottom w:val="nil"/>
              <w:right w:val="nil"/>
            </w:tcBorders>
            <w:tcMar>
              <w:top w:w="0" w:type="dxa"/>
              <w:left w:w="62" w:type="dxa"/>
              <w:bottom w:w="0" w:type="dxa"/>
              <w:right w:w="62" w:type="dxa"/>
            </w:tcMar>
          </w:tcPr>
          <w:p w:rsidR="00000000" w:rsidRPr="007D67F2" w:rsidP="007D67F2">
            <w:pPr>
              <w:pStyle w:val="BodyText"/>
            </w:pPr>
            <w:r w:rsidRPr="007D67F2">
              <w:t>Copy of planning permit is submitted to local authority and client.</w:t>
            </w:r>
          </w:p>
        </w:tc>
      </w:tr>
    </w:tbl>
    <w:p w:rsidR="00000000" w:rsidRPr="007D67F2" w:rsidP="007D67F2">
      <w:pPr>
        <w:pStyle w:val="BodyText"/>
      </w:pPr>
    </w:p>
    <w:p w:rsidR="00000000" w:rsidRPr="007D67F2" w:rsidP="007D67F2">
      <w:pPr>
        <w:pStyle w:val="AllowPageBreak"/>
      </w:pPr>
    </w:p>
    <w:p w:rsidR="00000000" w:rsidRPr="007D67F2" w:rsidP="007D67F2">
      <w:pPr>
        <w:pStyle w:val="Heading1"/>
      </w:pPr>
      <w:bookmarkStart w:id="7" w:name="O_733918"/>
      <w:bookmarkEnd w:id="7"/>
      <w:r w:rsidRPr="007D67F2">
        <w:t>Foundation Skills</w:t>
      </w:r>
    </w:p>
    <w:tbl>
      <w:tblPr>
        <w:tblW w:w="0" w:type="auto"/>
        <w:tblLayout w:type="fixed"/>
        <w:tblCellMar>
          <w:left w:w="62" w:type="dxa"/>
          <w:right w:w="62" w:type="dxa"/>
        </w:tblCellMar>
        <w:tblLook w:val="0000"/>
      </w:tblPr>
      <w:tblGrid>
        <w:gridCol w:w="2256"/>
        <w:gridCol w:w="6878"/>
      </w:tblGrid>
      <w:tr w:rsidTr="007D67F2">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This section describes the language, literacy, numeracy and employment skills essential to performance in this unit but not explicit in the performance criteria.</w:t>
            </w:r>
          </w:p>
        </w:tc>
      </w:tr>
      <w:tr w:rsidTr="007D67F2">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7D67F2" w:rsidP="007D67F2">
            <w:pPr>
              <w:pStyle w:val="BodyText"/>
            </w:pPr>
            <w:r w:rsidRPr="007D67F2">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rPr>
                <w:rStyle w:val="SpecialBold"/>
              </w:rPr>
              <w:t>Performance feature</w:t>
            </w:r>
          </w:p>
        </w:tc>
      </w:tr>
      <w:tr w:rsidTr="007D67F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Learning skills to:</w:t>
            </w:r>
          </w:p>
        </w:tc>
        <w:tc>
          <w:tcPr>
            <w:tcW w:w="6878" w:type="dxa"/>
            <w:tcBorders>
              <w:top w:val="nil"/>
              <w:left w:val="nil"/>
              <w:bottom w:val="nil"/>
              <w:right w:val="nil"/>
            </w:tcBorders>
            <w:tcMar>
              <w:top w:w="0" w:type="dxa"/>
              <w:left w:w="62" w:type="dxa"/>
              <w:bottom w:w="0" w:type="dxa"/>
              <w:right w:w="62" w:type="dxa"/>
            </w:tcMar>
          </w:tcPr>
          <w:p w:rsidR="00000000" w:rsidRPr="007D67F2" w:rsidP="007D67F2">
            <w:pPr>
              <w:pStyle w:val="ListBullet"/>
            </w:pPr>
            <w:r w:rsidRPr="007D67F2">
              <w:t>independently access a range of resources required to support the planning application process</w:t>
            </w:r>
          </w:p>
          <w:p w:rsidR="00000000" w:rsidRPr="007D67F2" w:rsidP="007D67F2">
            <w:pPr>
              <w:pStyle w:val="ListBullet"/>
            </w:pPr>
            <w:r w:rsidRPr="007D67F2">
              <w:t>maintain currency of knowledge required to process planning approval applications across a range of jurisdictions through, for example, email alerts, confe</w:t>
            </w:r>
            <w:r w:rsidRPr="007D67F2">
              <w:t xml:space="preserve">rences, or subscriptions to relevant journals. </w:t>
            </w:r>
          </w:p>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Numeracy skills to:</w:t>
            </w:r>
          </w:p>
        </w:tc>
        <w:tc>
          <w:tcPr>
            <w:tcW w:w="6878" w:type="dxa"/>
            <w:tcBorders>
              <w:top w:val="nil"/>
              <w:left w:val="nil"/>
              <w:bottom w:val="nil"/>
              <w:right w:val="nil"/>
            </w:tcBorders>
            <w:tcMar>
              <w:top w:w="0" w:type="dxa"/>
              <w:left w:w="62" w:type="dxa"/>
              <w:bottom w:w="0" w:type="dxa"/>
              <w:right w:w="62" w:type="dxa"/>
            </w:tcMar>
          </w:tcPr>
          <w:p w:rsidR="00000000" w:rsidRPr="007D67F2" w:rsidP="007D67F2">
            <w:pPr>
              <w:pStyle w:val="ListBullet"/>
            </w:pPr>
            <w:r w:rsidRPr="007D67F2">
              <w:t>understand a range of mathematical information contained in building design drawings and assessed as part of the planning approval process.</w:t>
            </w:r>
          </w:p>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7D67F2" w:rsidP="007D67F2">
            <w:pPr>
              <w:pStyle w:val="ListBullet"/>
            </w:pPr>
            <w:r w:rsidRPr="007D67F2">
              <w:t>select and u</w:t>
            </w:r>
            <w:r w:rsidRPr="007D67F2">
              <w:t>se appropriate vocabulary when providing information or explanations to clients, or seeking additional information to support the planning approval process</w:t>
            </w:r>
          </w:p>
          <w:p w:rsidR="00000000" w:rsidRPr="007D67F2" w:rsidP="007D67F2">
            <w:pPr>
              <w:pStyle w:val="ListBullet"/>
            </w:pPr>
            <w:r w:rsidRPr="007D67F2">
              <w:t>use effective strategies to confirm or clarify instructions received from colleagues or clients.</w:t>
            </w:r>
          </w:p>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R</w:t>
            </w:r>
            <w:r w:rsidRPr="007D67F2">
              <w:t>eading skills to:</w:t>
            </w:r>
          </w:p>
        </w:tc>
        <w:tc>
          <w:tcPr>
            <w:tcW w:w="6878" w:type="dxa"/>
            <w:tcBorders>
              <w:top w:val="nil"/>
              <w:left w:val="nil"/>
              <w:bottom w:val="nil"/>
              <w:right w:val="nil"/>
            </w:tcBorders>
            <w:tcMar>
              <w:top w:w="0" w:type="dxa"/>
              <w:left w:w="62" w:type="dxa"/>
              <w:bottom w:w="0" w:type="dxa"/>
              <w:right w:w="62" w:type="dxa"/>
            </w:tcMar>
          </w:tcPr>
          <w:p w:rsidR="00000000" w:rsidRPr="007D67F2" w:rsidP="007D67F2">
            <w:pPr>
              <w:pStyle w:val="ListBullet"/>
            </w:pPr>
            <w:r w:rsidRPr="007D67F2">
              <w:t>understand technical documentation used in building projects and planning application documentation</w:t>
            </w:r>
          </w:p>
          <w:p w:rsidR="00000000" w:rsidRPr="007D67F2" w:rsidP="007D67F2">
            <w:pPr>
              <w:pStyle w:val="ListBullet"/>
            </w:pPr>
            <w:r w:rsidRPr="007D67F2">
              <w:t>use different reading strategies to locate specific compliance requirements in a range of resources, including the BCA.</w:t>
            </w:r>
          </w:p>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Writing skills to:</w:t>
            </w:r>
          </w:p>
        </w:tc>
        <w:tc>
          <w:tcPr>
            <w:tcW w:w="6878" w:type="dxa"/>
            <w:tcBorders>
              <w:top w:val="nil"/>
              <w:left w:val="nil"/>
              <w:bottom w:val="nil"/>
              <w:right w:val="nil"/>
            </w:tcBorders>
            <w:tcMar>
              <w:top w:w="0" w:type="dxa"/>
              <w:left w:w="62" w:type="dxa"/>
              <w:bottom w:w="0" w:type="dxa"/>
              <w:right w:w="62" w:type="dxa"/>
            </w:tcMar>
          </w:tcPr>
          <w:p w:rsidR="00000000" w:rsidRPr="007D67F2" w:rsidP="007D67F2">
            <w:pPr>
              <w:pStyle w:val="ListBullet"/>
            </w:pPr>
            <w:r w:rsidRPr="007D67F2">
              <w:t>complete planning permits using appropriate vocabulary and clearly stating any approval conditions.</w:t>
            </w:r>
          </w:p>
        </w:tc>
      </w:tr>
    </w:tbl>
    <w:p w:rsidR="00000000" w:rsidRPr="007D67F2" w:rsidP="007D67F2">
      <w:pPr>
        <w:pStyle w:val="BodyText"/>
      </w:pPr>
    </w:p>
    <w:p w:rsidR="00000000" w:rsidRPr="007D67F2" w:rsidP="007D67F2">
      <w:pPr>
        <w:pStyle w:val="AllowPageBreak"/>
      </w:pPr>
    </w:p>
    <w:p w:rsidR="00000000" w:rsidRPr="007D67F2" w:rsidP="007D67F2">
      <w:pPr>
        <w:pStyle w:val="Heading1"/>
      </w:pPr>
      <w:bookmarkStart w:id="8" w:name="O_733917"/>
      <w:bookmarkEnd w:id="8"/>
      <w:r w:rsidRPr="007D67F2">
        <w:t>Range of Conditions</w:t>
      </w:r>
    </w:p>
    <w:tbl>
      <w:tblPr>
        <w:tblW w:w="0" w:type="auto"/>
        <w:tblLayout w:type="fixed"/>
        <w:tblCellMar>
          <w:left w:w="62" w:type="dxa"/>
          <w:right w:w="62" w:type="dxa"/>
        </w:tblCellMar>
        <w:tblLook w:val="0000"/>
      </w:tblPr>
      <w:tblGrid>
        <w:gridCol w:w="2264"/>
        <w:gridCol w:w="6870"/>
      </w:tblGrid>
      <w:tr w:rsidTr="007D67F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t>This section specifies work environments and conditions that may affect performance. Essential op</w:t>
            </w:r>
            <w:r w:rsidRPr="007D67F2">
              <w:t>erating conditions that may be present (depending on the work situation, needs of the candidate, accessibility of the item, and local industry and regional contexts) are included. Bold italicised wording, if used in the performance criteria, is detailed be</w:t>
            </w:r>
            <w:r w:rsidRPr="007D67F2">
              <w:t>low.</w:t>
            </w:r>
          </w:p>
        </w:tc>
      </w:tr>
      <w:tr w:rsidTr="007D67F2">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rPr>
                <w:rStyle w:val="BoldandItalics"/>
              </w:rPr>
              <w:t>Consultants</w:t>
            </w:r>
            <w:r w:rsidRPr="007D67F2">
              <w:t xml:space="preserve"> must include at least one of the following:</w:t>
            </w:r>
          </w:p>
        </w:tc>
        <w:tc>
          <w:tcPr>
            <w:tcW w:w="6870" w:type="dxa"/>
            <w:tcBorders>
              <w:top w:val="nil"/>
              <w:left w:val="nil"/>
              <w:bottom w:val="nil"/>
              <w:right w:val="nil"/>
            </w:tcBorders>
            <w:tcMar>
              <w:top w:w="0" w:type="dxa"/>
              <w:left w:w="62" w:type="dxa"/>
              <w:bottom w:w="0" w:type="dxa"/>
              <w:right w:w="62" w:type="dxa"/>
            </w:tcMar>
          </w:tcPr>
          <w:p w:rsidR="00000000" w:rsidRPr="007D67F2" w:rsidP="007D67F2">
            <w:pPr>
              <w:pStyle w:val="ListBullet"/>
            </w:pPr>
            <w:r w:rsidRPr="007D67F2">
              <w:t>access consultants</w:t>
            </w:r>
          </w:p>
          <w:p w:rsidR="00000000" w:rsidRPr="007D67F2" w:rsidP="007D67F2">
            <w:pPr>
              <w:pStyle w:val="ListBullet"/>
            </w:pPr>
            <w:r w:rsidRPr="007D67F2">
              <w:t>energy efficiency assessors</w:t>
            </w:r>
          </w:p>
          <w:p w:rsidR="00000000" w:rsidRPr="007D67F2" w:rsidP="007D67F2">
            <w:pPr>
              <w:pStyle w:val="ListBullet"/>
            </w:pPr>
            <w:r w:rsidRPr="007D67F2">
              <w:t>fire services engineers</w:t>
            </w:r>
          </w:p>
          <w:p w:rsidR="00000000" w:rsidRPr="007D67F2" w:rsidP="007D67F2">
            <w:pPr>
              <w:pStyle w:val="ListBullet"/>
            </w:pPr>
            <w:r w:rsidRPr="007D67F2">
              <w:t>geotechnical engineers</w:t>
            </w:r>
          </w:p>
          <w:p w:rsidR="00000000" w:rsidRPr="007D67F2" w:rsidP="007D67F2">
            <w:pPr>
              <w:pStyle w:val="ListBullet"/>
            </w:pPr>
            <w:r w:rsidRPr="007D67F2">
              <w:t>heritage consultants</w:t>
            </w:r>
          </w:p>
          <w:p w:rsidR="00000000" w:rsidRPr="007D67F2" w:rsidP="007D67F2">
            <w:pPr>
              <w:pStyle w:val="ListBullet"/>
            </w:pPr>
            <w:r w:rsidRPr="007D67F2">
              <w:t>hydraulic engineers</w:t>
            </w:r>
          </w:p>
          <w:p w:rsidR="00000000" w:rsidRPr="007D67F2" w:rsidP="007D67F2">
            <w:pPr>
              <w:pStyle w:val="ListBullet"/>
            </w:pPr>
            <w:r w:rsidRPr="007D67F2">
              <w:t>mechanical engineers</w:t>
            </w:r>
          </w:p>
          <w:p w:rsidR="00000000" w:rsidRPr="007D67F2" w:rsidP="007D67F2">
            <w:pPr>
              <w:pStyle w:val="ListBullet"/>
            </w:pPr>
            <w:r w:rsidRPr="007D67F2">
              <w:t>structural engineers</w:t>
            </w:r>
          </w:p>
          <w:p w:rsidR="00000000" w:rsidRPr="007D67F2" w:rsidP="007D67F2">
            <w:pPr>
              <w:pStyle w:val="ListBullet"/>
            </w:pPr>
            <w:r w:rsidRPr="007D67F2">
              <w:t>waterproofing specialists.</w:t>
            </w:r>
          </w:p>
          <w:p w:rsidR="00000000" w:rsidP="007D67F2">
            <w:pPr>
              <w:pStyle w:val="BodyText"/>
              <w:rPr>
                <w:lang w:val="en-NZ"/>
              </w:rPr>
            </w:pPr>
          </w:p>
        </w:tc>
      </w:tr>
      <w:tr w:rsidTr="007D67F2">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7D67F2">
            <w:pPr>
              <w:pStyle w:val="BodyText"/>
              <w:rPr>
                <w:lang w:val="en-NZ"/>
              </w:rPr>
            </w:pPr>
            <w:r w:rsidRPr="007D67F2">
              <w:rPr>
                <w:rStyle w:val="BoldandItalics"/>
              </w:rPr>
              <w:t>Documentation</w:t>
            </w:r>
            <w:r w:rsidRPr="007D67F2">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7D67F2" w:rsidP="007D67F2">
            <w:pPr>
              <w:pStyle w:val="ListBullet"/>
            </w:pPr>
            <w:r w:rsidRPr="007D67F2">
              <w:t>concept drawings to scale, with relevant calculations, levels, notes and specifications</w:t>
            </w:r>
          </w:p>
          <w:p w:rsidR="00000000" w:rsidRPr="007D67F2" w:rsidP="007D67F2">
            <w:pPr>
              <w:pStyle w:val="ListBullet"/>
            </w:pPr>
            <w:r w:rsidRPr="007D67F2">
              <w:t>planning approval application form</w:t>
            </w:r>
          </w:p>
          <w:p w:rsidR="00000000" w:rsidRPr="007D67F2" w:rsidP="007D67F2">
            <w:pPr>
              <w:pStyle w:val="ListBullet"/>
            </w:pPr>
            <w:r w:rsidRPr="007D67F2">
              <w:t>proof of building site ownership.</w:t>
            </w:r>
          </w:p>
        </w:tc>
      </w:tr>
    </w:tbl>
    <w:p w:rsidR="00000000" w:rsidRPr="007D67F2" w:rsidP="007D67F2">
      <w:pPr>
        <w:pStyle w:val="BodyText"/>
      </w:pPr>
    </w:p>
    <w:p w:rsidR="00000000" w:rsidRPr="007D67F2" w:rsidP="007D67F2">
      <w:pPr>
        <w:pStyle w:val="AllowPageBreak"/>
      </w:pPr>
    </w:p>
    <w:p w:rsidR="00000000" w:rsidRPr="007D67F2" w:rsidP="007D67F2">
      <w:pPr>
        <w:pStyle w:val="Heading1"/>
      </w:pPr>
      <w:bookmarkStart w:id="9" w:name="O_733916"/>
      <w:bookmarkEnd w:id="9"/>
      <w:r w:rsidRPr="007D67F2">
        <w:t>Unit Mapping Information</w:t>
      </w:r>
    </w:p>
    <w:p w:rsidR="00000000" w:rsidRPr="007D67F2" w:rsidP="00273211">
      <w:pPr>
        <w:pStyle w:val="BodyText"/>
      </w:pPr>
      <w:r w:rsidRPr="007D67F2">
        <w:t>No equivalent unit.</w:t>
      </w:r>
    </w:p>
    <w:p w:rsidR="00000000" w:rsidRPr="007D67F2" w:rsidP="007D67F2">
      <w:pPr>
        <w:pStyle w:val="Heading1"/>
      </w:pPr>
      <w:bookmarkStart w:id="10" w:name="O_733909"/>
      <w:bookmarkEnd w:id="10"/>
      <w:r w:rsidRPr="007D67F2">
        <w:t>Links</w:t>
      </w:r>
    </w:p>
    <w:p w:rsidR="00000000" w:rsidRPr="007D67F2" w:rsidP="00273211">
      <w:pPr>
        <w:pStyle w:val="BodyText"/>
      </w:pPr>
      <w:r w:rsidRPr="007D67F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908B3">
        <w:rPr>
          <w:rStyle w:val="Hyperlink"/>
        </w:rPr>
        <w:t>https://vetnet.gov.au/Pages/TrainingDocs.aspx?q=7e15fa6a-68b8-4097-b099-030a5569b1ad</w:t>
      </w:r>
      <w:r>
        <w:fldChar w:fldCharType="end"/>
      </w:r>
    </w:p>
    <w:p w:rsidR="00000000" w:rsidRPr="007D67F2" w:rsidP="00273211">
      <w:pPr>
        <w:pStyle w:val="BodyText"/>
        <w:sectPr w:rsidSect="007D67F2">
          <w:headerReference w:type="default" r:id="rId10"/>
          <w:footerReference w:type="default" r:id="rId11"/>
          <w:pgSz w:w="11908" w:h="16833"/>
          <w:pgMar w:top="1702" w:right="1418" w:bottom="1702" w:left="1418" w:header="992" w:footer="992" w:gutter="0"/>
          <w:cols w:space="720"/>
          <w:noEndnote/>
          <w:docGrid w:linePitch="299"/>
        </w:sectPr>
      </w:pPr>
    </w:p>
    <w:p w:rsidR="00000000" w:rsidRPr="007D67F2" w:rsidP="007D67F2">
      <w:pPr>
        <w:pStyle w:val="SuperHeading"/>
      </w:pPr>
      <w:r w:rsidRPr="007D67F2">
        <w:t>Assessment Requirements for CPCCBS6006 Process planning applications for residential buildings up to three storeys</w:t>
      </w:r>
    </w:p>
    <w:p w:rsidR="00000000" w:rsidRPr="007D67F2" w:rsidP="007D67F2">
      <w:pPr>
        <w:pStyle w:val="Heading1"/>
      </w:pPr>
      <w:bookmarkStart w:id="11" w:name="O_733911"/>
      <w:bookmarkEnd w:id="11"/>
      <w:r w:rsidRPr="007D67F2">
        <w:t>Modification History</w:t>
      </w:r>
    </w:p>
    <w:p w:rsidR="00000000" w:rsidRPr="007D67F2" w:rsidP="00273211">
      <w:pPr>
        <w:pStyle w:val="BodyText"/>
      </w:pPr>
      <w:r w:rsidRPr="007D67F2">
        <w:t xml:space="preserve">Release 1. </w:t>
      </w:r>
    </w:p>
    <w:p w:rsidR="00000000" w:rsidRPr="007D67F2" w:rsidP="00273211">
      <w:pPr>
        <w:pStyle w:val="BodyText"/>
      </w:pPr>
      <w:r w:rsidRPr="007D67F2">
        <w:t>This version first released with CPC Construction, Plumbing and Services Training Package Version 1.</w:t>
      </w:r>
    </w:p>
    <w:p w:rsidR="00000000" w:rsidRPr="007D67F2" w:rsidP="007D67F2">
      <w:pPr>
        <w:pStyle w:val="Heading1"/>
      </w:pPr>
      <w:bookmarkStart w:id="12" w:name="O_733914"/>
      <w:bookmarkEnd w:id="12"/>
      <w:r w:rsidRPr="007D67F2">
        <w:t>Performance Evidence</w:t>
      </w:r>
    </w:p>
    <w:p w:rsidR="00000000" w:rsidRPr="007D67F2" w:rsidP="00273211">
      <w:pPr>
        <w:pStyle w:val="BodyText"/>
      </w:pPr>
      <w:r w:rsidRPr="007D67F2">
        <w:t xml:space="preserve">A person demonstrating competency in this unit must satisfy all of the elements, performance criteria and foundation </w:t>
      </w:r>
      <w:r w:rsidRPr="007D67F2">
        <w:t>skills of this unit. The person must process planning applications for four different projects, involving the following class 1 and 10 buildings or structures as defined in the Building Code of Australia (BCA), where:</w:t>
      </w:r>
    </w:p>
    <w:p w:rsidR="00000000" w:rsidRPr="007D67F2" w:rsidP="007D67F2">
      <w:pPr>
        <w:pStyle w:val="ListBullet"/>
      </w:pPr>
      <w:r w:rsidRPr="007D67F2">
        <w:t>two projects must be for class 1a bui</w:t>
      </w:r>
      <w:r w:rsidRPr="007D67F2">
        <w:t>ldings in different locations</w:t>
      </w:r>
    </w:p>
    <w:p w:rsidR="00000000" w:rsidRPr="007D67F2" w:rsidP="007D67F2">
      <w:pPr>
        <w:pStyle w:val="ListBullet"/>
      </w:pPr>
      <w:r w:rsidRPr="007D67F2">
        <w:t>one project must be for a class 1b building</w:t>
      </w:r>
    </w:p>
    <w:p w:rsidR="00000000" w:rsidRPr="007D67F2" w:rsidP="007D67F2">
      <w:pPr>
        <w:pStyle w:val="ListBullet"/>
      </w:pPr>
      <w:r w:rsidRPr="007D67F2">
        <w:t>one project must be for a class 10 building or structure: bushfire shelter, swimming pool or retaining wall.</w:t>
      </w:r>
    </w:p>
    <w:p w:rsidR="00000000" w:rsidRPr="007D67F2" w:rsidP="007D67F2">
      <w:pPr>
        <w:pStyle w:val="BodyText"/>
      </w:pPr>
    </w:p>
    <w:p w:rsidR="00000000" w:rsidRPr="007D67F2" w:rsidP="00273211">
      <w:pPr>
        <w:pStyle w:val="BodyText"/>
      </w:pPr>
      <w:r w:rsidRPr="007D67F2">
        <w:t xml:space="preserve">At least two of the buildings must be three storeys. </w:t>
      </w:r>
    </w:p>
    <w:p w:rsidR="00000000" w:rsidRPr="007D67F2" w:rsidP="00273211">
      <w:pPr>
        <w:pStyle w:val="BodyText"/>
      </w:pPr>
      <w:r w:rsidRPr="007D67F2">
        <w:t>In doing the abov</w:t>
      </w:r>
      <w:r w:rsidRPr="007D67F2">
        <w:t>e, the person must also provide evidence of the ability to:</w:t>
      </w:r>
    </w:p>
    <w:p w:rsidR="00000000" w:rsidRPr="007D67F2" w:rsidP="007D67F2">
      <w:pPr>
        <w:pStyle w:val="ListBullet"/>
      </w:pPr>
      <w:r w:rsidRPr="007D67F2">
        <w:t>identify relevant approving authority requirements for assessing and issuing planning permissions and ensure adherence to relevant administrative processes</w:t>
      </w:r>
    </w:p>
    <w:p w:rsidR="00000000" w:rsidRPr="007D67F2" w:rsidP="007D67F2">
      <w:pPr>
        <w:pStyle w:val="ListBullet"/>
      </w:pPr>
      <w:r w:rsidRPr="007D67F2">
        <w:t>gather relevant planning application documentation, including drawings, for each building project and assess each application for compliance with relevant legislation, codes, regulations and local planning authority requirements</w:t>
      </w:r>
    </w:p>
    <w:p w:rsidR="00000000" w:rsidRPr="007D67F2" w:rsidP="007D67F2">
      <w:pPr>
        <w:pStyle w:val="ListBullet"/>
      </w:pPr>
      <w:r w:rsidRPr="007D67F2">
        <w:t>analyse documentation suppl</w:t>
      </w:r>
      <w:r w:rsidRPr="007D67F2">
        <w:t>ied by at least one external consultant for each planning application, to ensure information is accurate and complete and to determine compliance of the planning application</w:t>
      </w:r>
    </w:p>
    <w:p w:rsidR="00000000" w:rsidRPr="007D67F2" w:rsidP="007D67F2">
      <w:pPr>
        <w:pStyle w:val="ListBullet"/>
      </w:pPr>
      <w:r w:rsidRPr="007D67F2">
        <w:t>identify and note areas of non-compliance and produce a range of alternative solut</w:t>
      </w:r>
      <w:r w:rsidRPr="007D67F2">
        <w:t>ions for client consideration</w:t>
      </w:r>
    </w:p>
    <w:p w:rsidR="00000000" w:rsidRPr="007D67F2" w:rsidP="007D67F2">
      <w:pPr>
        <w:pStyle w:val="ListBullet"/>
      </w:pPr>
      <w:r w:rsidRPr="007D67F2">
        <w:t>document final planning permission for each building project, noting specific conditions and validity of each permit</w:t>
      </w:r>
    </w:p>
    <w:p w:rsidR="00000000" w:rsidRPr="007D67F2" w:rsidP="007D67F2">
      <w:pPr>
        <w:pStyle w:val="ListBullet"/>
      </w:pPr>
      <w:r w:rsidRPr="007D67F2">
        <w:t>lodge final planning approval with the relevant authorities and notify the client.</w:t>
      </w:r>
    </w:p>
    <w:p w:rsidR="00000000" w:rsidRPr="007D67F2" w:rsidP="007D67F2">
      <w:pPr>
        <w:pStyle w:val="AllowPageBreak"/>
      </w:pPr>
    </w:p>
    <w:p w:rsidR="00000000" w:rsidRPr="007D67F2" w:rsidP="007D67F2">
      <w:pPr>
        <w:pStyle w:val="Heading1"/>
      </w:pPr>
      <w:bookmarkStart w:id="13" w:name="O_733913"/>
      <w:bookmarkEnd w:id="13"/>
      <w:r w:rsidRPr="007D67F2">
        <w:t>Knowledge</w:t>
      </w:r>
      <w:r w:rsidRPr="007D67F2">
        <w:t xml:space="preserve"> Evidence</w:t>
      </w:r>
    </w:p>
    <w:p w:rsidR="00000000" w:rsidRPr="007D67F2" w:rsidP="00273211">
      <w:pPr>
        <w:pStyle w:val="BodyText"/>
      </w:pPr>
      <w:r w:rsidRPr="007D67F2">
        <w:t>A person demonstrating competency in this unit must demonstrate knowledge of:</w:t>
      </w:r>
    </w:p>
    <w:p w:rsidR="00000000" w:rsidRPr="007D67F2" w:rsidP="007D67F2">
      <w:pPr>
        <w:pStyle w:val="ListBullet"/>
      </w:pPr>
      <w:r w:rsidRPr="007D67F2">
        <w:t>BCA classification and definitions for buildings included in classes 1 and 10</w:t>
      </w:r>
    </w:p>
    <w:p w:rsidR="00000000" w:rsidRPr="007D67F2" w:rsidP="007D67F2">
      <w:pPr>
        <w:pStyle w:val="ListBullet"/>
      </w:pPr>
      <w:r w:rsidRPr="007D67F2">
        <w:t>construction methods and materials suitable for buildings in classes 1 and 10</w:t>
      </w:r>
    </w:p>
    <w:p w:rsidR="00000000" w:rsidRPr="007D67F2" w:rsidP="007D67F2">
      <w:pPr>
        <w:pStyle w:val="ListBullet"/>
      </w:pPr>
      <w:r w:rsidRPr="007D67F2">
        <w:t>drawing sym</w:t>
      </w:r>
      <w:r w:rsidRPr="007D67F2">
        <w:t>bols, notations, acronyms and construction terminology used in the National Construction Code (NCC), Australian standards, working drawings, and building design specifications</w:t>
      </w:r>
    </w:p>
    <w:p w:rsidR="00000000" w:rsidRPr="007D67F2" w:rsidP="007D67F2">
      <w:pPr>
        <w:pStyle w:val="ListBullet"/>
      </w:pPr>
      <w:r w:rsidRPr="007D67F2">
        <w:t>legislative and local planning and building requirements governing the issuing o</w:t>
      </w:r>
      <w:r w:rsidRPr="007D67F2">
        <w:t>f planning approval permits in the jurisdictions relevant to each building specified in the performance evidence</w:t>
      </w:r>
    </w:p>
    <w:p w:rsidR="00000000" w:rsidRPr="007D67F2" w:rsidP="007D67F2">
      <w:pPr>
        <w:pStyle w:val="ListBullet"/>
      </w:pPr>
      <w:r w:rsidRPr="007D67F2">
        <w:t>legislative roles and responsibilities of those issuing planning permits in the relevant jurisdiction.</w:t>
      </w:r>
    </w:p>
    <w:p w:rsidR="00000000" w:rsidRPr="007D67F2" w:rsidP="007D67F2">
      <w:pPr>
        <w:pStyle w:val="AllowPageBreak"/>
      </w:pPr>
    </w:p>
    <w:p w:rsidR="00000000" w:rsidRPr="007D67F2" w:rsidP="007D67F2">
      <w:pPr>
        <w:pStyle w:val="Heading1"/>
      </w:pPr>
      <w:bookmarkStart w:id="14" w:name="O_733912"/>
      <w:bookmarkEnd w:id="14"/>
      <w:r w:rsidRPr="007D67F2">
        <w:t>Assessment Conditions</w:t>
      </w:r>
    </w:p>
    <w:p w:rsidR="00000000" w:rsidRPr="007D67F2" w:rsidP="00273211">
      <w:pPr>
        <w:pStyle w:val="BodyText"/>
      </w:pPr>
      <w:r w:rsidRPr="007D67F2">
        <w:t>S</w:t>
      </w:r>
      <w:r w:rsidRPr="007D67F2">
        <w:t>uitable assessment of performance requires:</w:t>
      </w:r>
    </w:p>
    <w:p w:rsidR="00000000" w:rsidRPr="007D67F2" w:rsidP="007D67F2">
      <w:pPr>
        <w:pStyle w:val="ListBullet"/>
      </w:pPr>
      <w:r w:rsidRPr="007D67F2">
        <w:t>equipment:</w:t>
      </w:r>
    </w:p>
    <w:p w:rsidR="00000000" w:rsidRPr="007D67F2" w:rsidP="007D67F2">
      <w:pPr>
        <w:pStyle w:val="ListBullet2"/>
      </w:pPr>
      <w:r w:rsidRPr="007D67F2">
        <w:t>computer with internet access and business software currently in use in building surveying practices</w:t>
      </w:r>
    </w:p>
    <w:p w:rsidR="00000000" w:rsidRPr="007D67F2" w:rsidP="007D67F2">
      <w:pPr>
        <w:pStyle w:val="ListBullet"/>
      </w:pPr>
      <w:r w:rsidRPr="007D67F2">
        <w:t>materials:</w:t>
      </w:r>
    </w:p>
    <w:p w:rsidR="00000000" w:rsidRPr="007D67F2" w:rsidP="007D67F2">
      <w:pPr>
        <w:pStyle w:val="ListBullet2"/>
      </w:pPr>
      <w:r w:rsidRPr="007D67F2">
        <w:t>documentation to support planning applications specified in the performance evidence</w:t>
      </w:r>
    </w:p>
    <w:p w:rsidR="00000000" w:rsidRPr="007D67F2" w:rsidP="007D67F2">
      <w:pPr>
        <w:pStyle w:val="ListBullet"/>
      </w:pPr>
      <w:r w:rsidRPr="007D67F2">
        <w:t>specifications:</w:t>
      </w:r>
    </w:p>
    <w:p w:rsidR="00000000" w:rsidRPr="007D67F2" w:rsidP="007D67F2">
      <w:pPr>
        <w:pStyle w:val="ListBullet2"/>
      </w:pPr>
      <w:r w:rsidRPr="007D67F2">
        <w:t>access to relevant and current building control legislation, regulations, codes and standards and state, territory or local authority planning policies</w:t>
      </w:r>
    </w:p>
    <w:p w:rsidR="00000000" w:rsidRPr="007D67F2" w:rsidP="007D67F2">
      <w:pPr>
        <w:pStyle w:val="ListBullet"/>
      </w:pPr>
      <w:r w:rsidRPr="007D67F2">
        <w:t>relationships with team members and supervisor:</w:t>
      </w:r>
    </w:p>
    <w:p w:rsidR="00000000" w:rsidRPr="007D67F2" w:rsidP="007D67F2">
      <w:pPr>
        <w:pStyle w:val="ListBullet2"/>
      </w:pPr>
      <w:r w:rsidRPr="007D67F2">
        <w:t>access to a team of building surveyo</w:t>
      </w:r>
      <w:r w:rsidRPr="007D67F2">
        <w:t>rs with various levels of experience and approval authority</w:t>
      </w:r>
    </w:p>
    <w:p w:rsidR="00000000" w:rsidRPr="007D67F2" w:rsidP="007D67F2">
      <w:pPr>
        <w:pStyle w:val="ListBullet"/>
      </w:pPr>
      <w:r w:rsidRPr="007D67F2">
        <w:t>relationship with client:</w:t>
      </w:r>
    </w:p>
    <w:p w:rsidR="00000000" w:rsidRPr="007D67F2" w:rsidP="007D67F2">
      <w:pPr>
        <w:pStyle w:val="ListBullet2"/>
      </w:pPr>
      <w:r w:rsidRPr="007D67F2">
        <w:t>access to a range of clients who may include owner builders, developers, architects and building designers.</w:t>
      </w:r>
    </w:p>
    <w:p w:rsidR="00000000" w:rsidRPr="007D67F2" w:rsidP="007D67F2">
      <w:pPr>
        <w:pStyle w:val="BodyText"/>
      </w:pPr>
    </w:p>
    <w:p w:rsidR="00000000" w:rsidRPr="007D67F2" w:rsidP="00273211">
      <w:pPr>
        <w:pStyle w:val="Heading3"/>
      </w:pPr>
      <w:r w:rsidRPr="007D67F2">
        <w:rPr>
          <w:rStyle w:val="SpecialBold"/>
        </w:rPr>
        <w:t>Assessor requirements</w:t>
      </w:r>
    </w:p>
    <w:p w:rsidR="00000000" w:rsidRPr="007D67F2" w:rsidP="00273211">
      <w:pPr>
        <w:pStyle w:val="BodyText"/>
      </w:pPr>
      <w:r w:rsidRPr="007D67F2">
        <w:t>Assessors must satisfy the assessor r</w:t>
      </w:r>
      <w:r w:rsidRPr="007D67F2">
        <w:t>equirements in the Standards for Registered Training Organisations (RTOs) current at the time of assessment.</w:t>
      </w:r>
    </w:p>
    <w:p w:rsidR="00000000" w:rsidRPr="007D67F2" w:rsidP="00273211">
      <w:pPr>
        <w:pStyle w:val="BodyText"/>
      </w:pPr>
      <w:r w:rsidRPr="007D67F2">
        <w:t>In addition, assessors must also demonstrate current membership of a relevant industry association and have current registration on the National B</w:t>
      </w:r>
      <w:r w:rsidRPr="007D67F2">
        <w:t>uilding Professionals Register in the Building Industry Control category (level 1) or be accredited under the Australian Institute of Building Surveyors (AIBS) National Accreditation Scheme at Building Surveyor level.</w:t>
      </w:r>
    </w:p>
    <w:p w:rsidR="00000000" w:rsidRPr="007D67F2" w:rsidP="007D67F2">
      <w:pPr>
        <w:pStyle w:val="Heading1"/>
      </w:pPr>
      <w:bookmarkStart w:id="15" w:name="O_733910"/>
      <w:bookmarkEnd w:id="15"/>
      <w:r w:rsidRPr="007D67F2">
        <w:t>Links</w:t>
      </w:r>
    </w:p>
    <w:p w:rsidR="00000000" w:rsidRPr="007D67F2" w:rsidP="00273211">
      <w:pPr>
        <w:pStyle w:val="BodyText"/>
      </w:pPr>
      <w:r w:rsidRPr="007D67F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908B3">
        <w:rPr>
          <w:rStyle w:val="Hyperlink"/>
        </w:rPr>
        <w:t>https://vetnet.gov.au/Pages/TrainingDocs.aspx?q=7e15fa6a-68b8-4097-b099-030a5569b1ad</w:t>
      </w:r>
      <w:r>
        <w:fldChar w:fldCharType="end"/>
      </w:r>
    </w:p>
    <w:p w:rsidR="00000000" w:rsidRPr="007D67F2" w:rsidP="007D67F2"/>
    <w:sectPr w:rsidSect="007D67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F2" w:rsidRPr="00273211" w:rsidP="002732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11" w:rsidP="007D6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3211" w:rsidP="007D67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73211" w:rsidP="007D67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F2" w:rsidP="007D67F2">
    <w:pPr>
      <w:pStyle w:val="Footer"/>
      <w:framePr w:wrap="around"/>
    </w:pPr>
    <w:r>
      <w:fldChar w:fldCharType="begin"/>
    </w:r>
    <w:r>
      <w:instrText xml:space="preserve"> DOCPROPERTY  Subject  \* MERGEFORMAT </w:instrText>
    </w:r>
    <w:r>
      <w:fldChar w:fldCharType="separate"/>
    </w:r>
    <w:r w:rsidR="00273211">
      <w:t>Approved</w:t>
    </w:r>
    <w:r w:rsidR="00273211">
      <w:fldChar w:fldCharType="end"/>
    </w:r>
    <w:r>
      <w:tab/>
      <w:t xml:space="preserve">Page </w:t>
    </w:r>
    <w:r>
      <w:fldChar w:fldCharType="begin"/>
    </w:r>
    <w:r>
      <w:instrText xml:space="preserve"> PAGE  \* Arabic  \* MERGEFORMAT </w:instrText>
    </w:r>
    <w:r>
      <w:fldChar w:fldCharType="separate"/>
    </w:r>
    <w:r w:rsidR="002732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3211">
      <w:rPr>
        <w:noProof/>
      </w:rPr>
      <w:t>5</w:t>
    </w:r>
    <w:r>
      <w:rPr>
        <w:noProof/>
      </w:rPr>
      <w:fldChar w:fldCharType="end"/>
    </w:r>
  </w:p>
  <w:p w:rsidR="007D67F2" w:rsidP="007D67F2">
    <w:pPr>
      <w:pStyle w:val="Footer"/>
      <w:framePr w:wrap="around"/>
    </w:pPr>
    <w:r>
      <w:t xml:space="preserve">© Commonwealth of Australia, </w:t>
    </w:r>
    <w:r>
      <w:fldChar w:fldCharType="begin"/>
    </w:r>
    <w:r>
      <w:instrText xml:space="preserve"> DATE  \@ "yyyy"  \* MERGEFORMAT </w:instrText>
    </w:r>
    <w:r>
      <w:fldChar w:fldCharType="separate"/>
    </w:r>
    <w:r w:rsidR="00273211">
      <w:rPr>
        <w:noProof/>
      </w:rPr>
      <w:t>2025</w:t>
    </w:r>
    <w:r>
      <w:fldChar w:fldCharType="end"/>
    </w:r>
    <w:r>
      <w:tab/>
    </w:r>
    <w:r>
      <w:fldChar w:fldCharType="begin"/>
    </w:r>
    <w:r>
      <w:instrText xml:space="preserve"> DOCPROPERTY  Author  \* MERGEFORMAT </w:instrText>
    </w:r>
    <w:r>
      <w:fldChar w:fldCharType="separate"/>
    </w:r>
    <w:r w:rsidR="00273211">
      <w:t>BuildSkills Australia</w:t>
    </w:r>
    <w:r w:rsidR="00273211">
      <w:fldChar w:fldCharType="end"/>
    </w:r>
  </w:p>
  <w:p w:rsidR="007D67F2" w:rsidP="007D6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7F2" w:rsidRPr="00273211" w:rsidP="002732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11" w:rsidRPr="002D2AF8" w:rsidP="007D67F2">
    <w:pPr>
      <w:pStyle w:val="Header"/>
      <w:framePr w:wrap="around"/>
    </w:pPr>
    <w:r>
      <w:fldChar w:fldCharType="begin"/>
    </w:r>
    <w:r>
      <w:instrText xml:space="preserve"> TITLE   \* MERGEFORMAT </w:instrText>
    </w:r>
    <w:r>
      <w:fldChar w:fldCharType="separate"/>
    </w:r>
    <w:r>
      <w:t>CPCCBS6006 Process planning applications for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3211" w:rsidP="007D67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F2" w:rsidRPr="002D2AF8" w:rsidP="007D67F2">
    <w:pPr>
      <w:pStyle w:val="Header"/>
      <w:framePr w:wrap="around"/>
    </w:pPr>
    <w:r>
      <w:fldChar w:fldCharType="begin"/>
    </w:r>
    <w:r>
      <w:instrText xml:space="preserve"> TITLE   \* MERGEFORMAT </w:instrText>
    </w:r>
    <w:r>
      <w:fldChar w:fldCharType="separate"/>
    </w:r>
    <w:r w:rsidR="00273211">
      <w:t>CPCCBS6006 Process planning applications for residential buildings up to three storeys</w:t>
    </w:r>
    <w:r w:rsidR="00273211">
      <w:fldChar w:fldCharType="end"/>
    </w:r>
    <w:r>
      <w:tab/>
      <w:t xml:space="preserve">Date this document was generated: </w:t>
    </w:r>
    <w:r>
      <w:fldChar w:fldCharType="begin"/>
    </w:r>
    <w:r>
      <w:instrText xml:space="preserve"> CREATEDATE  \@ "d MMMM yyyy"  \* MERGEFORMAT </w:instrText>
    </w:r>
    <w:r>
      <w:fldChar w:fldCharType="separate"/>
    </w:r>
    <w:r w:rsidR="00273211">
      <w:rPr>
        <w:noProof/>
      </w:rPr>
      <w:t>2 March 2025</w:t>
    </w:r>
    <w:r>
      <w:fldChar w:fldCharType="end"/>
    </w:r>
  </w:p>
  <w:p w:rsidR="007D67F2" w:rsidP="007D6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4B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AF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22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7F2"/>
    <w:pPr>
      <w:spacing w:before="360" w:after="60"/>
      <w:outlineLvl w:val="0"/>
    </w:pPr>
    <w:rPr>
      <w:sz w:val="32"/>
    </w:rPr>
  </w:style>
  <w:style w:type="paragraph" w:styleId="Heading2">
    <w:name w:val="heading 2"/>
    <w:basedOn w:val="HeadingBase"/>
    <w:next w:val="BodyText"/>
    <w:link w:val="Heading2Char"/>
    <w:qFormat/>
    <w:rsid w:val="007D67F2"/>
    <w:pPr>
      <w:keepLines/>
      <w:spacing w:before="240" w:after="120"/>
      <w:outlineLvl w:val="1"/>
    </w:pPr>
    <w:rPr>
      <w:sz w:val="28"/>
      <w:szCs w:val="40"/>
    </w:rPr>
  </w:style>
  <w:style w:type="paragraph" w:styleId="Heading3">
    <w:name w:val="heading 3"/>
    <w:basedOn w:val="HeadingBase"/>
    <w:next w:val="BodyText"/>
    <w:link w:val="Heading3Char"/>
    <w:qFormat/>
    <w:rsid w:val="007D67F2"/>
    <w:pPr>
      <w:spacing w:before="180" w:after="120"/>
      <w:outlineLvl w:val="2"/>
    </w:pPr>
    <w:rPr>
      <w:spacing w:val="-10"/>
      <w:kern w:val="32"/>
    </w:rPr>
  </w:style>
  <w:style w:type="paragraph" w:styleId="Heading4">
    <w:name w:val="heading 4"/>
    <w:basedOn w:val="HeadingBase"/>
    <w:next w:val="BodyText"/>
    <w:link w:val="Heading4Char"/>
    <w:qFormat/>
    <w:rsid w:val="007D67F2"/>
    <w:pPr>
      <w:spacing w:before="160" w:after="120"/>
      <w:outlineLvl w:val="3"/>
    </w:pPr>
    <w:rPr>
      <w:sz w:val="22"/>
    </w:rPr>
  </w:style>
  <w:style w:type="paragraph" w:styleId="Heading5">
    <w:name w:val="heading 5"/>
    <w:basedOn w:val="HeadingBase"/>
    <w:next w:val="Normal"/>
    <w:link w:val="Heading5Char"/>
    <w:qFormat/>
    <w:rsid w:val="007D67F2"/>
    <w:pPr>
      <w:spacing w:before="80"/>
      <w:outlineLvl w:val="4"/>
    </w:pPr>
    <w:rPr>
      <w:color w:val="918585"/>
      <w:sz w:val="20"/>
    </w:rPr>
  </w:style>
  <w:style w:type="paragraph" w:styleId="Heading6">
    <w:name w:val="heading 6"/>
    <w:basedOn w:val="HeadingBase"/>
    <w:next w:val="Normal"/>
    <w:link w:val="Heading6Char"/>
    <w:qFormat/>
    <w:rsid w:val="007D67F2"/>
    <w:pPr>
      <w:spacing w:before="60"/>
      <w:outlineLvl w:val="5"/>
    </w:pPr>
    <w:rPr>
      <w:color w:val="918585"/>
      <w:sz w:val="20"/>
    </w:rPr>
  </w:style>
  <w:style w:type="paragraph" w:styleId="Heading7">
    <w:name w:val="heading 7"/>
    <w:basedOn w:val="Normal"/>
    <w:next w:val="Normal"/>
    <w:link w:val="Heading7Char"/>
    <w:qFormat/>
    <w:rsid w:val="007D67F2"/>
    <w:pPr>
      <w:ind w:left="720"/>
      <w:outlineLvl w:val="6"/>
    </w:pPr>
    <w:rPr>
      <w:i/>
    </w:rPr>
  </w:style>
  <w:style w:type="paragraph" w:styleId="Heading8">
    <w:name w:val="heading 8"/>
    <w:basedOn w:val="Normal"/>
    <w:next w:val="Normal"/>
    <w:link w:val="Heading8Char"/>
    <w:qFormat/>
    <w:rsid w:val="007D67F2"/>
    <w:pPr>
      <w:ind w:left="720"/>
      <w:outlineLvl w:val="7"/>
    </w:pPr>
    <w:rPr>
      <w:i/>
    </w:rPr>
  </w:style>
  <w:style w:type="paragraph" w:styleId="Heading9">
    <w:name w:val="heading 9"/>
    <w:basedOn w:val="Normal"/>
    <w:next w:val="Normal"/>
    <w:link w:val="Heading9Char"/>
    <w:qFormat/>
    <w:rsid w:val="007D67F2"/>
    <w:pPr>
      <w:ind w:left="720"/>
      <w:outlineLvl w:val="8"/>
    </w:pPr>
    <w:rPr>
      <w:i/>
    </w:rPr>
  </w:style>
  <w:style w:type="character" w:default="1" w:styleId="DefaultParagraphFont">
    <w:name w:val="Default Paragraph Font"/>
    <w:uiPriority w:val="1"/>
    <w:unhideWhenUsed/>
    <w:rsid w:val="007D6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7F2"/>
  </w:style>
  <w:style w:type="character" w:customStyle="1" w:styleId="Heading1Char">
    <w:name w:val="Heading 1 Char"/>
    <w:basedOn w:val="DefaultParagraphFont"/>
    <w:link w:val="Heading1"/>
    <w:rsid w:val="007D67F2"/>
    <w:rPr>
      <w:rFonts w:ascii="Times New Roman" w:eastAsia="Times New Roman" w:hAnsi="Times New Roman" w:cs="Times New Roman"/>
      <w:b/>
      <w:sz w:val="32"/>
      <w:szCs w:val="20"/>
      <w:lang w:eastAsia="en-US"/>
    </w:rPr>
  </w:style>
  <w:style w:type="paragraph" w:styleId="BodyText">
    <w:name w:val="Body Text"/>
    <w:basedOn w:val="Normal"/>
    <w:link w:val="BodyTextChar"/>
    <w:rsid w:val="007D6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7F2"/>
    <w:rPr>
      <w:rFonts w:ascii="Times New Roman" w:eastAsia="Times New Roman" w:hAnsi="Times New Roman" w:cs="Times New Roman"/>
      <w:sz w:val="24"/>
      <w:lang w:eastAsia="en-US"/>
    </w:rPr>
  </w:style>
  <w:style w:type="paragraph" w:styleId="ListBullet">
    <w:name w:val="List Bullet"/>
    <w:basedOn w:val="List"/>
    <w:rsid w:val="007D67F2"/>
    <w:pPr>
      <w:numPr>
        <w:numId w:val="12"/>
      </w:numPr>
      <w:tabs>
        <w:tab w:val="clear" w:pos="340"/>
      </w:tabs>
      <w:spacing w:before="40" w:after="40"/>
    </w:pPr>
  </w:style>
  <w:style w:type="character" w:customStyle="1" w:styleId="SpecialBold">
    <w:name w:val="Special Bold"/>
    <w:basedOn w:val="DefaultParagraphFont"/>
    <w:rsid w:val="007D67F2"/>
    <w:rPr>
      <w:b/>
      <w:spacing w:val="0"/>
    </w:rPr>
  </w:style>
  <w:style w:type="paragraph" w:styleId="ListBullet2">
    <w:name w:val="List Bullet 2"/>
    <w:basedOn w:val="List2"/>
    <w:rsid w:val="007D67F2"/>
    <w:pPr>
      <w:numPr>
        <w:numId w:val="13"/>
      </w:numPr>
      <w:tabs>
        <w:tab w:val="clear" w:pos="680"/>
      </w:tabs>
    </w:pPr>
  </w:style>
  <w:style w:type="paragraph" w:customStyle="1" w:styleId="SuperHeading">
    <w:name w:val="SuperHeading"/>
    <w:basedOn w:val="Normal"/>
    <w:rsid w:val="007D67F2"/>
    <w:pPr>
      <w:spacing w:before="240" w:after="120"/>
      <w:outlineLvl w:val="0"/>
    </w:pPr>
    <w:rPr>
      <w:rFonts w:ascii="Times New Roman" w:hAnsi="Times New Roman"/>
      <w:b/>
      <w:sz w:val="32"/>
    </w:rPr>
  </w:style>
  <w:style w:type="paragraph" w:customStyle="1" w:styleId="AllowPageBreak">
    <w:name w:val="AllowPageBreak"/>
    <w:rsid w:val="007D6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67F2"/>
    <w:rPr>
      <w:b/>
      <w:i/>
      <w:u w:val="none"/>
    </w:rPr>
  </w:style>
  <w:style w:type="character" w:customStyle="1" w:styleId="Heading2Char">
    <w:name w:val="Heading 2 Char"/>
    <w:basedOn w:val="DefaultParagraphFont"/>
    <w:link w:val="Heading2"/>
    <w:rsid w:val="007D6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7F2"/>
    <w:rPr>
      <w:rFonts w:ascii="Courier New" w:eastAsia="Times New Roman" w:hAnsi="Courier New" w:cs="Times New Roman"/>
      <w:i/>
      <w:szCs w:val="20"/>
      <w:lang w:eastAsia="en-US"/>
    </w:rPr>
  </w:style>
  <w:style w:type="paragraph" w:customStyle="1" w:styleId="HeadingBase">
    <w:name w:val="Heading Base"/>
    <w:rsid w:val="007D6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7F2"/>
    <w:pPr>
      <w:tabs>
        <w:tab w:val="right" w:leader="dot" w:pos="9072"/>
      </w:tabs>
      <w:ind w:left="567"/>
    </w:pPr>
    <w:rPr>
      <w:szCs w:val="22"/>
    </w:rPr>
  </w:style>
  <w:style w:type="paragraph" w:customStyle="1" w:styleId="TOCBase">
    <w:name w:val="TOC Base"/>
    <w:rsid w:val="007D6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7F2"/>
    <w:pPr>
      <w:tabs>
        <w:tab w:val="right" w:leader="dot" w:pos="9072"/>
      </w:tabs>
      <w:spacing w:before="40" w:after="40"/>
      <w:ind w:left="284"/>
    </w:pPr>
    <w:rPr>
      <w:rFonts w:ascii="Times New Roman" w:hAnsi="Times New Roman"/>
    </w:rPr>
  </w:style>
  <w:style w:type="paragraph" w:styleId="TOC1">
    <w:name w:val="toc 1"/>
    <w:basedOn w:val="TOCBase"/>
    <w:next w:val="Normal"/>
    <w:rsid w:val="007D6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7F2"/>
    <w:rPr>
      <w:rFonts w:ascii="Times New Roman" w:eastAsia="Times New Roman" w:hAnsi="Times New Roman" w:cs="Times New Roman"/>
      <w:sz w:val="16"/>
      <w:lang w:eastAsia="en-US"/>
    </w:rPr>
  </w:style>
  <w:style w:type="paragraph" w:styleId="Title">
    <w:name w:val="Title"/>
    <w:basedOn w:val="HeadingBase"/>
    <w:link w:val="TitleChar"/>
    <w:qFormat/>
    <w:rsid w:val="007D67F2"/>
    <w:pPr>
      <w:spacing w:before="5040"/>
      <w:jc w:val="center"/>
    </w:pPr>
    <w:rPr>
      <w:sz w:val="48"/>
      <w:szCs w:val="72"/>
      <w:lang w:val="en-US"/>
    </w:rPr>
  </w:style>
  <w:style w:type="character" w:customStyle="1" w:styleId="TitleChar">
    <w:name w:val="Title Char"/>
    <w:basedOn w:val="DefaultParagraphFont"/>
    <w:link w:val="Title"/>
    <w:rsid w:val="007D6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7F2"/>
    <w:pPr>
      <w:tabs>
        <w:tab w:val="left" w:pos="3600"/>
        <w:tab w:val="left" w:pos="3958"/>
      </w:tabs>
    </w:pPr>
  </w:style>
  <w:style w:type="paragraph" w:styleId="List">
    <w:name w:val="List"/>
    <w:basedOn w:val="BodyText"/>
    <w:next w:val="BodyText"/>
    <w:rsid w:val="007D67F2"/>
    <w:pPr>
      <w:tabs>
        <w:tab w:val="left" w:pos="340"/>
      </w:tabs>
      <w:spacing w:before="60" w:after="60"/>
      <w:ind w:left="340" w:hanging="340"/>
    </w:pPr>
  </w:style>
  <w:style w:type="paragraph" w:customStyle="1" w:styleId="Note">
    <w:name w:val="Note"/>
    <w:basedOn w:val="BodyText"/>
    <w:rsid w:val="007D6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7F2"/>
    <w:pPr>
      <w:framePr w:wrap="auto" w:hAnchor="text" w:y="6049"/>
    </w:pPr>
    <w:rPr>
      <w:color w:val="000000"/>
      <w:sz w:val="40"/>
    </w:rPr>
  </w:style>
  <w:style w:type="paragraph" w:customStyle="1" w:styleId="TOCTitle">
    <w:name w:val="TOCTitle"/>
    <w:basedOn w:val="Heading1"/>
    <w:rsid w:val="007D67F2"/>
    <w:pPr>
      <w:spacing w:after="240"/>
      <w:jc w:val="center"/>
      <w:outlineLvl w:val="9"/>
    </w:pPr>
    <w:rPr>
      <w:caps/>
    </w:rPr>
  </w:style>
  <w:style w:type="paragraph" w:customStyle="1" w:styleId="Version">
    <w:name w:val="Version"/>
    <w:rsid w:val="007D6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7F2"/>
    <w:pPr>
      <w:keepNext w:val="0"/>
      <w:tabs>
        <w:tab w:val="right" w:pos="4176"/>
      </w:tabs>
      <w:ind w:left="198" w:hanging="198"/>
    </w:pPr>
    <w:rPr>
      <w:rFonts w:ascii="Garamond" w:hAnsi="Garamond"/>
    </w:rPr>
  </w:style>
  <w:style w:type="paragraph" w:styleId="IndexHeading">
    <w:name w:val="index heading"/>
    <w:basedOn w:val="Normal"/>
    <w:next w:val="Index1"/>
    <w:semiHidden/>
    <w:rsid w:val="007D67F2"/>
    <w:pPr>
      <w:spacing w:before="120" w:after="120"/>
    </w:pPr>
    <w:rPr>
      <w:rFonts w:ascii="Arial" w:hAnsi="Arial"/>
      <w:b/>
      <w:color w:val="918585"/>
      <w:sz w:val="24"/>
    </w:rPr>
  </w:style>
  <w:style w:type="paragraph" w:styleId="Header">
    <w:name w:val="header"/>
    <w:basedOn w:val="Normal"/>
    <w:link w:val="HeaderChar"/>
    <w:rsid w:val="007D6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7F2"/>
    <w:rPr>
      <w:rFonts w:ascii="Times New Roman" w:eastAsia="Times New Roman" w:hAnsi="Times New Roman" w:cs="Times New Roman"/>
      <w:sz w:val="16"/>
      <w:szCs w:val="20"/>
      <w:lang w:val="en-GB" w:eastAsia="en-US"/>
    </w:rPr>
  </w:style>
  <w:style w:type="paragraph" w:customStyle="1" w:styleId="Chapter">
    <w:name w:val="Chapter"/>
    <w:basedOn w:val="Normal"/>
    <w:rsid w:val="007D67F2"/>
    <w:pPr>
      <w:spacing w:before="240"/>
    </w:pPr>
    <w:rPr>
      <w:rFonts w:ascii="Times New Roman" w:hAnsi="Times New Roman"/>
      <w:smallCaps/>
      <w:spacing w:val="80"/>
      <w:sz w:val="28"/>
    </w:rPr>
  </w:style>
  <w:style w:type="paragraph" w:customStyle="1" w:styleId="InChapter">
    <w:name w:val="InChapter"/>
    <w:basedOn w:val="Heading3"/>
    <w:rsid w:val="007D67F2"/>
    <w:pPr>
      <w:spacing w:after="240"/>
      <w:outlineLvl w:val="9"/>
    </w:pPr>
    <w:rPr>
      <w:noProof/>
    </w:rPr>
  </w:style>
  <w:style w:type="paragraph" w:styleId="Index2">
    <w:name w:val="index 2"/>
    <w:basedOn w:val="Normal"/>
    <w:next w:val="Normal"/>
    <w:semiHidden/>
    <w:rsid w:val="007D67F2"/>
    <w:pPr>
      <w:tabs>
        <w:tab w:val="right" w:pos="4176"/>
      </w:tabs>
      <w:ind w:left="568" w:hanging="284"/>
    </w:pPr>
    <w:rPr>
      <w:rFonts w:ascii="Garamond" w:hAnsi="Garamond"/>
    </w:rPr>
  </w:style>
  <w:style w:type="paragraph" w:customStyle="1" w:styleId="Byline">
    <w:name w:val="Byline"/>
    <w:rsid w:val="007D6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7F2"/>
    <w:pPr>
      <w:tabs>
        <w:tab w:val="clear" w:pos="3600"/>
        <w:tab w:val="clear" w:pos="3958"/>
      </w:tabs>
      <w:jc w:val="right"/>
    </w:pPr>
  </w:style>
  <w:style w:type="character" w:styleId="Emphasis">
    <w:name w:val="Emphasis"/>
    <w:basedOn w:val="DefaultParagraphFont"/>
    <w:qFormat/>
    <w:rsid w:val="007D67F2"/>
    <w:rPr>
      <w:i/>
    </w:rPr>
  </w:style>
  <w:style w:type="paragraph" w:styleId="Caption">
    <w:name w:val="caption"/>
    <w:basedOn w:val="BodyText"/>
    <w:next w:val="Normal"/>
    <w:qFormat/>
    <w:rsid w:val="007D67F2"/>
    <w:pPr>
      <w:framePr w:w="2268" w:hSpace="181" w:vSpace="181" w:wrap="around" w:vAnchor="text" w:hAnchor="page" w:x="1135" w:y="285" w:anchorLock="1"/>
    </w:pPr>
    <w:rPr>
      <w:i/>
    </w:rPr>
  </w:style>
  <w:style w:type="paragraph" w:customStyle="1" w:styleId="MiniTOCTitle">
    <w:name w:val="MiniTOCTitle"/>
    <w:basedOn w:val="Heading4"/>
    <w:rsid w:val="007D67F2"/>
    <w:pPr>
      <w:spacing w:before="240"/>
      <w:outlineLvl w:val="9"/>
    </w:pPr>
    <w:rPr>
      <w:noProof/>
      <w:sz w:val="24"/>
    </w:rPr>
  </w:style>
  <w:style w:type="paragraph" w:customStyle="1" w:styleId="MiniTOCItem">
    <w:name w:val="MiniTOCItem"/>
    <w:basedOn w:val="ListBullet"/>
    <w:rsid w:val="007D67F2"/>
    <w:pPr>
      <w:numPr>
        <w:numId w:val="0"/>
      </w:numPr>
      <w:tabs>
        <w:tab w:val="right" w:leader="dot" w:pos="6521"/>
      </w:tabs>
      <w:spacing w:before="0" w:after="0"/>
    </w:pPr>
  </w:style>
  <w:style w:type="paragraph" w:customStyle="1" w:styleId="TOFTitle">
    <w:name w:val="TOFTitle"/>
    <w:basedOn w:val="TOCTitle"/>
    <w:rsid w:val="007D67F2"/>
  </w:style>
  <w:style w:type="paragraph" w:styleId="TableofFigures">
    <w:name w:val="table of figures"/>
    <w:basedOn w:val="Normal"/>
    <w:next w:val="Normal"/>
    <w:semiHidden/>
    <w:rsid w:val="007D67F2"/>
    <w:pPr>
      <w:tabs>
        <w:tab w:val="right" w:leader="dot" w:pos="9072"/>
      </w:tabs>
      <w:ind w:left="970" w:hanging="403"/>
    </w:pPr>
    <w:rPr>
      <w:rFonts w:ascii="Times New Roman" w:hAnsi="Times New Roman"/>
      <w:b/>
    </w:rPr>
  </w:style>
  <w:style w:type="paragraph" w:styleId="ListNumber">
    <w:name w:val="List Number"/>
    <w:basedOn w:val="List"/>
    <w:rsid w:val="007D67F2"/>
    <w:pPr>
      <w:numPr>
        <w:numId w:val="15"/>
      </w:numPr>
      <w:tabs>
        <w:tab w:val="clear" w:pos="340"/>
      </w:tabs>
    </w:pPr>
  </w:style>
  <w:style w:type="character" w:customStyle="1" w:styleId="WingdingSymbols">
    <w:name w:val="Wingding Symbols"/>
    <w:rsid w:val="007D67F2"/>
    <w:rPr>
      <w:rFonts w:ascii="Wingdings" w:hAnsi="Wingdings"/>
    </w:rPr>
  </w:style>
  <w:style w:type="paragraph" w:customStyle="1" w:styleId="TableHeading">
    <w:name w:val="Table Heading"/>
    <w:basedOn w:val="HeadingBase"/>
    <w:rsid w:val="007D67F2"/>
    <w:pPr>
      <w:keepLines/>
      <w:pBdr>
        <w:bottom w:val="single" w:sz="6" w:space="1" w:color="918585"/>
      </w:pBdr>
      <w:spacing w:before="240"/>
    </w:pPr>
  </w:style>
  <w:style w:type="character" w:customStyle="1" w:styleId="HotSpot">
    <w:name w:val="HotSpot"/>
    <w:rsid w:val="007D67F2"/>
    <w:rPr>
      <w:color w:val="0033CC"/>
      <w:u w:val="none"/>
    </w:rPr>
  </w:style>
  <w:style w:type="paragraph" w:customStyle="1" w:styleId="BodyTextRight">
    <w:name w:val="Body Text Right"/>
    <w:basedOn w:val="BodyText"/>
    <w:rsid w:val="007D67F2"/>
    <w:pPr>
      <w:spacing w:before="0" w:after="0"/>
      <w:jc w:val="right"/>
    </w:pPr>
  </w:style>
  <w:style w:type="paragraph" w:styleId="Index3">
    <w:name w:val="index 3"/>
    <w:basedOn w:val="ListNumber2"/>
    <w:next w:val="Normal"/>
    <w:semiHidden/>
    <w:rsid w:val="007D67F2"/>
    <w:pPr>
      <w:numPr>
        <w:numId w:val="0"/>
      </w:numPr>
      <w:tabs>
        <w:tab w:val="right" w:leader="dot" w:pos="4176"/>
      </w:tabs>
    </w:pPr>
  </w:style>
  <w:style w:type="paragraph" w:styleId="ListNumber2">
    <w:name w:val="List Number 2"/>
    <w:basedOn w:val="List2"/>
    <w:rsid w:val="007D67F2"/>
    <w:pPr>
      <w:numPr>
        <w:numId w:val="10"/>
      </w:numPr>
      <w:tabs>
        <w:tab w:val="clear" w:pos="1060"/>
      </w:tabs>
    </w:pPr>
  </w:style>
  <w:style w:type="paragraph" w:customStyle="1" w:styleId="MarginNote">
    <w:name w:val="Margin Note"/>
    <w:basedOn w:val="BodyText"/>
    <w:rsid w:val="007D6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7F2"/>
    <w:rPr>
      <w:sz w:val="32"/>
    </w:rPr>
  </w:style>
  <w:style w:type="paragraph" w:customStyle="1" w:styleId="HeadingProcedure">
    <w:name w:val="Heading Procedure"/>
    <w:basedOn w:val="HeadingBase"/>
    <w:next w:val="Normal"/>
    <w:rsid w:val="007D67F2"/>
    <w:pPr>
      <w:tabs>
        <w:tab w:val="left" w:pos="0"/>
      </w:tabs>
      <w:spacing w:before="120" w:after="60"/>
    </w:pPr>
    <w:rPr>
      <w:i/>
      <w:color w:val="918585"/>
      <w:sz w:val="22"/>
    </w:rPr>
  </w:style>
  <w:style w:type="paragraph" w:customStyle="1" w:styleId="TableBodyText">
    <w:name w:val="Table Body Text"/>
    <w:basedOn w:val="BodyText"/>
    <w:rsid w:val="007D67F2"/>
    <w:pPr>
      <w:spacing w:before="60" w:after="60"/>
    </w:pPr>
  </w:style>
  <w:style w:type="paragraph" w:styleId="ListContinue">
    <w:name w:val="List Continue"/>
    <w:basedOn w:val="List"/>
    <w:rsid w:val="007D67F2"/>
    <w:pPr>
      <w:ind w:firstLine="0"/>
    </w:pPr>
  </w:style>
  <w:style w:type="paragraph" w:customStyle="1" w:styleId="ListNote">
    <w:name w:val="List Note"/>
    <w:basedOn w:val="List"/>
    <w:rsid w:val="007D67F2"/>
    <w:pPr>
      <w:pBdr>
        <w:top w:val="single" w:sz="6" w:space="2" w:color="918585"/>
        <w:bottom w:val="single" w:sz="6" w:space="2" w:color="918585"/>
      </w:pBdr>
      <w:tabs>
        <w:tab w:val="left" w:pos="1021"/>
      </w:tabs>
      <w:ind w:firstLine="0"/>
    </w:pPr>
  </w:style>
  <w:style w:type="paragraph" w:customStyle="1" w:styleId="Warning">
    <w:name w:val="Warning"/>
    <w:basedOn w:val="BodyText"/>
    <w:rsid w:val="007D67F2"/>
    <w:pPr>
      <w:shd w:val="clear" w:color="auto" w:fill="D9D9D9"/>
      <w:tabs>
        <w:tab w:val="left" w:pos="992"/>
      </w:tabs>
      <w:ind w:left="119" w:right="119"/>
    </w:pPr>
    <w:rPr>
      <w:sz w:val="20"/>
    </w:rPr>
  </w:style>
  <w:style w:type="paragraph" w:customStyle="1" w:styleId="MarginIcons">
    <w:name w:val="Margin Icons"/>
    <w:basedOn w:val="BodyText"/>
    <w:rsid w:val="007D6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7F2"/>
    <w:rPr>
      <w:rFonts w:ascii="Courier New" w:hAnsi="Courier New"/>
    </w:rPr>
  </w:style>
  <w:style w:type="paragraph" w:customStyle="1" w:styleId="NoteBullet">
    <w:name w:val="Note Bullet"/>
    <w:basedOn w:val="Note"/>
    <w:rsid w:val="007D67F2"/>
    <w:pPr>
      <w:tabs>
        <w:tab w:val="clear" w:pos="680"/>
      </w:tabs>
      <w:spacing w:before="60" w:after="60"/>
    </w:pPr>
  </w:style>
  <w:style w:type="paragraph" w:customStyle="1" w:styleId="SubHeading2">
    <w:name w:val="SubHeading2"/>
    <w:basedOn w:val="HeadingBase"/>
    <w:rsid w:val="007D67F2"/>
    <w:pPr>
      <w:spacing w:before="240" w:after="60"/>
    </w:pPr>
    <w:rPr>
      <w:sz w:val="20"/>
    </w:rPr>
  </w:style>
  <w:style w:type="paragraph" w:customStyle="1" w:styleId="SubHeading1">
    <w:name w:val="SubHeading1"/>
    <w:basedOn w:val="HeadingBase"/>
    <w:rsid w:val="007D67F2"/>
    <w:pPr>
      <w:spacing w:before="240" w:after="60"/>
    </w:pPr>
    <w:rPr>
      <w:color w:val="918585"/>
      <w:sz w:val="22"/>
    </w:rPr>
  </w:style>
  <w:style w:type="paragraph" w:customStyle="1" w:styleId="SideHeading">
    <w:name w:val="Side Heading"/>
    <w:basedOn w:val="HeadingBase"/>
    <w:rsid w:val="007D6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7F2"/>
    <w:pPr>
      <w:tabs>
        <w:tab w:val="num" w:pos="360"/>
      </w:tabs>
    </w:pPr>
  </w:style>
  <w:style w:type="paragraph" w:styleId="PlainText">
    <w:name w:val="Plain Text"/>
    <w:basedOn w:val="Normal"/>
    <w:link w:val="PlainTextChar"/>
    <w:rsid w:val="007D67F2"/>
    <w:rPr>
      <w:sz w:val="20"/>
    </w:rPr>
  </w:style>
  <w:style w:type="character" w:customStyle="1" w:styleId="PlainTextChar">
    <w:name w:val="Plain Text Char"/>
    <w:basedOn w:val="DefaultParagraphFont"/>
    <w:link w:val="PlainText"/>
    <w:rsid w:val="007D67F2"/>
    <w:rPr>
      <w:rFonts w:ascii="Courier New" w:eastAsia="Times New Roman" w:hAnsi="Courier New" w:cs="Times New Roman"/>
      <w:sz w:val="20"/>
      <w:szCs w:val="20"/>
      <w:lang w:eastAsia="en-US"/>
    </w:rPr>
  </w:style>
  <w:style w:type="character" w:customStyle="1" w:styleId="MenuOption">
    <w:name w:val="Menu Option"/>
    <w:basedOn w:val="DefaultParagraphFont"/>
    <w:rsid w:val="007D67F2"/>
    <w:rPr>
      <w:b/>
      <w:smallCaps/>
    </w:rPr>
  </w:style>
  <w:style w:type="paragraph" w:customStyle="1" w:styleId="TableListNumber">
    <w:name w:val="Table List Number"/>
    <w:basedOn w:val="ListNumber"/>
    <w:rsid w:val="007D67F2"/>
    <w:pPr>
      <w:numPr>
        <w:numId w:val="0"/>
      </w:numPr>
    </w:pPr>
  </w:style>
  <w:style w:type="paragraph" w:styleId="TOC4">
    <w:name w:val="toc 4"/>
    <w:basedOn w:val="TOCBase"/>
    <w:next w:val="Normal"/>
    <w:semiHidden/>
    <w:rsid w:val="007D67F2"/>
    <w:pPr>
      <w:tabs>
        <w:tab w:val="right" w:leader="dot" w:pos="9071"/>
      </w:tabs>
      <w:ind w:left="1701"/>
    </w:pPr>
  </w:style>
  <w:style w:type="paragraph" w:customStyle="1" w:styleId="ListAlpha">
    <w:name w:val="List Alpha"/>
    <w:basedOn w:val="List"/>
    <w:rsid w:val="007D67F2"/>
    <w:pPr>
      <w:numPr>
        <w:numId w:val="9"/>
      </w:numPr>
    </w:pPr>
  </w:style>
  <w:style w:type="paragraph" w:customStyle="1" w:styleId="ListAlpha2">
    <w:name w:val="List Alpha 2"/>
    <w:basedOn w:val="List2"/>
    <w:rsid w:val="007D67F2"/>
    <w:pPr>
      <w:numPr>
        <w:numId w:val="8"/>
      </w:numPr>
    </w:pPr>
  </w:style>
  <w:style w:type="paragraph" w:styleId="List2">
    <w:name w:val="List 2"/>
    <w:basedOn w:val="BodyText"/>
    <w:rsid w:val="007D67F2"/>
    <w:pPr>
      <w:tabs>
        <w:tab w:val="left" w:pos="680"/>
      </w:tabs>
      <w:spacing w:before="60" w:after="60"/>
      <w:ind w:left="680" w:hanging="340"/>
    </w:pPr>
  </w:style>
  <w:style w:type="paragraph" w:styleId="List3">
    <w:name w:val="List 3"/>
    <w:basedOn w:val="BodyText"/>
    <w:rsid w:val="007D67F2"/>
    <w:pPr>
      <w:tabs>
        <w:tab w:val="left" w:pos="1021"/>
      </w:tabs>
      <w:spacing w:before="60" w:after="60"/>
      <w:ind w:left="1020" w:hanging="340"/>
    </w:pPr>
  </w:style>
  <w:style w:type="paragraph" w:styleId="List4">
    <w:name w:val="List 4"/>
    <w:basedOn w:val="BodyText"/>
    <w:rsid w:val="007D67F2"/>
    <w:pPr>
      <w:tabs>
        <w:tab w:val="left" w:pos="1361"/>
      </w:tabs>
      <w:spacing w:before="60" w:after="60"/>
      <w:ind w:left="1361" w:hanging="340"/>
    </w:pPr>
  </w:style>
  <w:style w:type="paragraph" w:styleId="List5">
    <w:name w:val="List 5"/>
    <w:basedOn w:val="BodyText"/>
    <w:rsid w:val="007D67F2"/>
    <w:pPr>
      <w:tabs>
        <w:tab w:val="left" w:pos="1701"/>
      </w:tabs>
      <w:spacing w:before="60" w:after="60"/>
      <w:ind w:left="1701" w:hanging="340"/>
    </w:pPr>
  </w:style>
  <w:style w:type="paragraph" w:styleId="ListBullet3">
    <w:name w:val="List Bullet 3"/>
    <w:basedOn w:val="List3"/>
    <w:rsid w:val="007D67F2"/>
    <w:pPr>
      <w:numPr>
        <w:numId w:val="14"/>
      </w:numPr>
      <w:tabs>
        <w:tab w:val="clear" w:pos="1021"/>
      </w:tabs>
      <w:ind w:left="1037" w:hanging="357"/>
    </w:pPr>
  </w:style>
  <w:style w:type="paragraph" w:styleId="ListBullet4">
    <w:name w:val="List Bullet 4"/>
    <w:basedOn w:val="List4"/>
    <w:rsid w:val="007D67F2"/>
    <w:pPr>
      <w:numPr>
        <w:numId w:val="3"/>
      </w:numPr>
      <w:tabs>
        <w:tab w:val="clear" w:pos="1361"/>
      </w:tabs>
    </w:pPr>
  </w:style>
  <w:style w:type="paragraph" w:styleId="ListBullet5">
    <w:name w:val="List Bullet 5"/>
    <w:basedOn w:val="List5"/>
    <w:rsid w:val="007D67F2"/>
    <w:pPr>
      <w:numPr>
        <w:numId w:val="4"/>
      </w:numPr>
    </w:pPr>
  </w:style>
  <w:style w:type="paragraph" w:styleId="ListContinue2">
    <w:name w:val="List Continue 2"/>
    <w:basedOn w:val="List2"/>
    <w:rsid w:val="007D67F2"/>
    <w:pPr>
      <w:ind w:firstLine="0"/>
    </w:pPr>
  </w:style>
  <w:style w:type="paragraph" w:styleId="ListContinue3">
    <w:name w:val="List Continue 3"/>
    <w:basedOn w:val="List3"/>
    <w:rsid w:val="007D67F2"/>
    <w:pPr>
      <w:ind w:left="1021" w:firstLine="0"/>
    </w:pPr>
  </w:style>
  <w:style w:type="paragraph" w:styleId="ListContinue4">
    <w:name w:val="List Continue 4"/>
    <w:basedOn w:val="List4"/>
    <w:rsid w:val="007D67F2"/>
    <w:pPr>
      <w:ind w:firstLine="0"/>
    </w:pPr>
  </w:style>
  <w:style w:type="paragraph" w:styleId="ListContinue5">
    <w:name w:val="List Continue 5"/>
    <w:basedOn w:val="List5"/>
    <w:rsid w:val="007D67F2"/>
    <w:pPr>
      <w:ind w:firstLine="0"/>
    </w:pPr>
  </w:style>
  <w:style w:type="paragraph" w:styleId="ListNumber3">
    <w:name w:val="List Number 3"/>
    <w:basedOn w:val="List3"/>
    <w:rsid w:val="007D67F2"/>
    <w:pPr>
      <w:numPr>
        <w:numId w:val="5"/>
      </w:numPr>
    </w:pPr>
  </w:style>
  <w:style w:type="paragraph" w:styleId="ListNumber4">
    <w:name w:val="List Number 4"/>
    <w:basedOn w:val="List4"/>
    <w:rsid w:val="007D67F2"/>
    <w:pPr>
      <w:numPr>
        <w:numId w:val="6"/>
      </w:numPr>
    </w:pPr>
  </w:style>
  <w:style w:type="paragraph" w:styleId="ListNumber5">
    <w:name w:val="List Number 5"/>
    <w:basedOn w:val="List5"/>
    <w:rsid w:val="007D67F2"/>
    <w:pPr>
      <w:numPr>
        <w:numId w:val="7"/>
      </w:numPr>
    </w:pPr>
  </w:style>
  <w:style w:type="paragraph" w:styleId="BlockText">
    <w:name w:val="Block Text"/>
    <w:basedOn w:val="Normal"/>
    <w:rsid w:val="007D67F2"/>
    <w:pPr>
      <w:spacing w:after="120"/>
      <w:ind w:left="1440" w:right="1440"/>
    </w:pPr>
  </w:style>
  <w:style w:type="character" w:customStyle="1" w:styleId="Subscript">
    <w:name w:val="Subscript"/>
    <w:basedOn w:val="DefaultParagraphFont"/>
    <w:rsid w:val="007D67F2"/>
    <w:rPr>
      <w:sz w:val="16"/>
      <w:vertAlign w:val="subscript"/>
    </w:rPr>
  </w:style>
  <w:style w:type="character" w:customStyle="1" w:styleId="Superscript">
    <w:name w:val="Superscript"/>
    <w:basedOn w:val="DefaultParagraphFont"/>
    <w:rsid w:val="007D67F2"/>
    <w:rPr>
      <w:sz w:val="16"/>
      <w:vertAlign w:val="superscript"/>
    </w:rPr>
  </w:style>
  <w:style w:type="character" w:customStyle="1" w:styleId="Symbols">
    <w:name w:val="Symbols"/>
    <w:basedOn w:val="DefaultParagraphFont"/>
    <w:rsid w:val="007D67F2"/>
    <w:rPr>
      <w:rFonts w:ascii="Symbol" w:hAnsi="Symbol"/>
    </w:rPr>
  </w:style>
  <w:style w:type="character" w:customStyle="1" w:styleId="MenuOptions">
    <w:name w:val="Menu Options"/>
    <w:basedOn w:val="DefaultParagraphFont"/>
    <w:rsid w:val="007D67F2"/>
    <w:rPr>
      <w:rFonts w:ascii="Arial Narrow" w:hAnsi="Arial Narrow"/>
      <w:smallCaps/>
    </w:rPr>
  </w:style>
  <w:style w:type="character" w:customStyle="1" w:styleId="Buttons">
    <w:name w:val="Buttons"/>
    <w:basedOn w:val="DefaultParagraphFont"/>
    <w:rsid w:val="007D67F2"/>
    <w:rPr>
      <w:b/>
    </w:rPr>
  </w:style>
  <w:style w:type="character" w:customStyle="1" w:styleId="Underlined">
    <w:name w:val="Underlined"/>
    <w:basedOn w:val="DefaultParagraphFont"/>
    <w:rsid w:val="007D67F2"/>
    <w:rPr>
      <w:u w:val="single"/>
    </w:rPr>
  </w:style>
  <w:style w:type="paragraph" w:customStyle="1" w:styleId="TableBodyTextRight">
    <w:name w:val="Table Body Text Right"/>
    <w:basedOn w:val="TableBodyText"/>
    <w:rsid w:val="007D67F2"/>
    <w:pPr>
      <w:widowControl w:val="0"/>
      <w:autoSpaceDE w:val="0"/>
      <w:autoSpaceDN w:val="0"/>
      <w:adjustRightInd w:val="0"/>
      <w:jc w:val="right"/>
    </w:pPr>
    <w:rPr>
      <w:rFonts w:cs="Arial"/>
      <w:szCs w:val="18"/>
    </w:rPr>
  </w:style>
  <w:style w:type="paragraph" w:customStyle="1" w:styleId="CopyrightText">
    <w:name w:val="Copyright Text"/>
    <w:basedOn w:val="BodyText"/>
    <w:rsid w:val="007D67F2"/>
    <w:rPr>
      <w:sz w:val="18"/>
    </w:rPr>
  </w:style>
  <w:style w:type="paragraph" w:customStyle="1" w:styleId="BodySmallRight">
    <w:name w:val="Body Small Right"/>
    <w:basedOn w:val="BodyTextRight"/>
    <w:rsid w:val="007D67F2"/>
    <w:rPr>
      <w:sz w:val="18"/>
      <w:szCs w:val="18"/>
    </w:rPr>
  </w:style>
  <w:style w:type="paragraph" w:customStyle="1" w:styleId="MarginEdition">
    <w:name w:val="Margin Edition"/>
    <w:basedOn w:val="MarginNote"/>
    <w:rsid w:val="007D67F2"/>
    <w:pPr>
      <w:spacing w:before="0" w:after="0"/>
    </w:pPr>
    <w:rPr>
      <w:rFonts w:ascii="Times New Roman" w:hAnsi="Times New Roman"/>
      <w:color w:val="999999"/>
    </w:rPr>
  </w:style>
  <w:style w:type="paragraph" w:customStyle="1" w:styleId="Spacer">
    <w:name w:val="Spacer"/>
    <w:basedOn w:val="Normal"/>
    <w:rsid w:val="007D67F2"/>
    <w:rPr>
      <w:sz w:val="2"/>
      <w:szCs w:val="2"/>
    </w:rPr>
  </w:style>
  <w:style w:type="character" w:customStyle="1" w:styleId="Small">
    <w:name w:val="Small"/>
    <w:basedOn w:val="DefaultParagraphFont"/>
    <w:rsid w:val="007D67F2"/>
    <w:rPr>
      <w:sz w:val="16"/>
    </w:rPr>
  </w:style>
  <w:style w:type="paragraph" w:customStyle="1" w:styleId="WideTable">
    <w:name w:val="Wide Table"/>
    <w:basedOn w:val="Normal"/>
    <w:rsid w:val="007D67F2"/>
    <w:pPr>
      <w:ind w:left="-1418"/>
    </w:pPr>
    <w:rPr>
      <w:sz w:val="2"/>
      <w:szCs w:val="2"/>
    </w:rPr>
  </w:style>
  <w:style w:type="character" w:styleId="PageNumber">
    <w:name w:val="page number"/>
    <w:basedOn w:val="DefaultParagraphFont"/>
    <w:rsid w:val="007D67F2"/>
  </w:style>
  <w:style w:type="paragraph" w:styleId="Quote">
    <w:name w:val="Quote"/>
    <w:basedOn w:val="Heading1"/>
    <w:link w:val="QuoteChar"/>
    <w:qFormat/>
    <w:rsid w:val="007D67F2"/>
    <w:rPr>
      <w:b w:val="0"/>
      <w:sz w:val="72"/>
      <w:szCs w:val="72"/>
      <w:lang w:val="en-NZ"/>
    </w:rPr>
  </w:style>
  <w:style w:type="character" w:customStyle="1" w:styleId="QuoteChar">
    <w:name w:val="Quote Char"/>
    <w:basedOn w:val="DefaultParagraphFont"/>
    <w:link w:val="Quote"/>
    <w:rsid w:val="007D6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7F2"/>
    <w:pPr>
      <w:pageBreakBefore/>
    </w:pPr>
  </w:style>
  <w:style w:type="paragraph" w:customStyle="1" w:styleId="Border">
    <w:name w:val="Border"/>
    <w:basedOn w:val="Normal"/>
    <w:qFormat/>
    <w:rsid w:val="007D6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7F2"/>
    <w:rPr>
      <w:b/>
      <w:bCs/>
      <w:i/>
      <w:iCs/>
      <w:color w:val="auto"/>
    </w:rPr>
  </w:style>
  <w:style w:type="paragraph" w:styleId="IntenseQuote">
    <w:name w:val="Intense Quote"/>
    <w:basedOn w:val="Normal"/>
    <w:next w:val="Normal"/>
    <w:link w:val="IntenseQuoteChar"/>
    <w:uiPriority w:val="30"/>
    <w:qFormat/>
    <w:rsid w:val="007D6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7F2"/>
    <w:rPr>
      <w:smallCaps/>
      <w:color w:val="auto"/>
      <w:u w:val="single"/>
    </w:rPr>
  </w:style>
  <w:style w:type="character" w:styleId="IntenseReference">
    <w:name w:val="Intense Reference"/>
    <w:basedOn w:val="DefaultParagraphFont"/>
    <w:uiPriority w:val="32"/>
    <w:qFormat/>
    <w:rsid w:val="007D67F2"/>
    <w:rPr>
      <w:b/>
      <w:bCs/>
      <w:smallCaps/>
      <w:color w:val="auto"/>
      <w:spacing w:val="5"/>
      <w:u w:val="single"/>
    </w:rPr>
  </w:style>
  <w:style w:type="paragraph" w:customStyle="1" w:styleId="2ColumnHeading">
    <w:name w:val="2Column Heading"/>
    <w:basedOn w:val="BodyText"/>
    <w:qFormat/>
    <w:rsid w:val="007D67F2"/>
    <w:pPr>
      <w:spacing w:after="60"/>
      <w:ind w:left="-2268"/>
    </w:pPr>
    <w:rPr>
      <w:b/>
    </w:rPr>
  </w:style>
  <w:style w:type="paragraph" w:customStyle="1" w:styleId="Heading1TOC">
    <w:name w:val="Heading1 TOC"/>
    <w:basedOn w:val="Normal"/>
    <w:qFormat/>
    <w:rsid w:val="007D67F2"/>
    <w:pPr>
      <w:spacing w:before="240" w:after="120"/>
    </w:pPr>
    <w:rPr>
      <w:rFonts w:ascii="Times New Roman" w:hAnsi="Times New Roman"/>
      <w:b/>
      <w:sz w:val="32"/>
    </w:rPr>
  </w:style>
  <w:style w:type="paragraph" w:customStyle="1" w:styleId="Heading2TOC">
    <w:name w:val="Heading2 TOC"/>
    <w:basedOn w:val="Normal"/>
    <w:qFormat/>
    <w:rsid w:val="007D67F2"/>
    <w:pPr>
      <w:spacing w:before="240" w:after="60"/>
    </w:pPr>
    <w:rPr>
      <w:rFonts w:ascii="Times New Roman" w:hAnsi="Times New Roman"/>
      <w:b/>
      <w:sz w:val="28"/>
    </w:rPr>
  </w:style>
  <w:style w:type="character" w:customStyle="1" w:styleId="Underline">
    <w:name w:val="Underline"/>
    <w:basedOn w:val="DefaultParagraphFont"/>
    <w:qFormat/>
    <w:rsid w:val="007D67F2"/>
    <w:rPr>
      <w:u w:val="single"/>
    </w:rPr>
  </w:style>
  <w:style w:type="paragraph" w:styleId="BalloonText">
    <w:name w:val="Balloon Text"/>
    <w:basedOn w:val="Normal"/>
    <w:link w:val="BalloonTextChar"/>
    <w:rsid w:val="007D67F2"/>
    <w:rPr>
      <w:rFonts w:ascii="Tahoma" w:hAnsi="Tahoma" w:cs="Tahoma"/>
      <w:sz w:val="16"/>
      <w:szCs w:val="16"/>
    </w:rPr>
  </w:style>
  <w:style w:type="character" w:customStyle="1" w:styleId="BalloonTextChar">
    <w:name w:val="Balloon Text Char"/>
    <w:basedOn w:val="DefaultParagraphFont"/>
    <w:link w:val="BalloonText"/>
    <w:rsid w:val="007D6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7F2"/>
    <w:rPr>
      <w:b/>
      <w:color w:val="660033"/>
      <w:spacing w:val="0"/>
    </w:rPr>
  </w:style>
  <w:style w:type="paragraph" w:customStyle="1" w:styleId="Nameditemlist">
    <w:name w:val="Named item list"/>
    <w:basedOn w:val="BodyText"/>
    <w:qFormat/>
    <w:rsid w:val="007D67F2"/>
    <w:pPr>
      <w:tabs>
        <w:tab w:val="left" w:pos="2835"/>
      </w:tabs>
      <w:ind w:left="2835" w:hanging="2835"/>
    </w:pPr>
  </w:style>
  <w:style w:type="paragraph" w:customStyle="1" w:styleId="BodyTextnopadding">
    <w:name w:val="Body Text no padding"/>
    <w:basedOn w:val="BodyText"/>
    <w:qFormat/>
    <w:rsid w:val="007D67F2"/>
    <w:pPr>
      <w:spacing w:before="0" w:after="0"/>
    </w:pPr>
  </w:style>
  <w:style w:type="paragraph" w:customStyle="1" w:styleId="BodyTextBold">
    <w:name w:val="Body Text Bold"/>
    <w:basedOn w:val="BodyText"/>
    <w:qFormat/>
    <w:rsid w:val="007D67F2"/>
    <w:rPr>
      <w:b/>
    </w:rPr>
  </w:style>
  <w:style w:type="character" w:styleId="Hyperlink">
    <w:name w:val="Hyperlink"/>
    <w:basedOn w:val="DefaultParagraphFont"/>
    <w:uiPriority w:val="99"/>
    <w:unhideWhenUsed/>
    <w:rsid w:val="002732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1425</Words>
  <Characters>9294</Characters>
  <Application>Microsoft Office Word</Application>
  <DocSecurity>0</DocSecurity>
  <Lines>320</Lines>
  <Paragraphs>162</Paragraphs>
  <ScaleCrop>false</ScaleCrop>
  <Company>Author-it Software Corporation Ltd.</Company>
  <LinksUpToDate>false</LinksUpToDate>
  <CharactersWithSpaces>10557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CPCCBS6006 Process planning applications for residential buildings up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2025-03-01T16:47:00Z</dcterms:created>
  <dcterms:modified xsi:type="dcterms:W3CDTF">2025-03-01T16:48:00Z</dcterms:modified>
</cp:coreProperties>
</file>