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31C3" w:rsidP="006231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CPCCBS6006 Process planning applications for residential buildings up to three storeys</w:t>
      </w:r>
      <w:r>
        <w:fldChar w:fldCharType="end"/>
      </w:r>
    </w:p>
    <w:p w:rsidR="006231C3" w:rsidP="006231C3">
      <w:pPr>
        <w:pStyle w:val="Version"/>
        <w:sectPr w:rsidSect="00F34C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4CCE" w:rsidP="00F34CCE">
      <w:pPr>
        <w:pStyle w:val="SuperHeading"/>
      </w:pPr>
      <w:r w:rsidRPr="00F34CCE">
        <w:t>Assessment Requirements for CPCCBS6006 Process planning applications for residential buildings up to three storeys</w:t>
      </w:r>
    </w:p>
    <w:p w:rsidR="00000000" w:rsidRPr="00F34CCE" w:rsidP="00F34CCE">
      <w:pPr>
        <w:pStyle w:val="Heading1"/>
      </w:pPr>
      <w:bookmarkStart w:id="1" w:name="O_733911"/>
      <w:bookmarkEnd w:id="1"/>
      <w:r w:rsidRPr="00F34CCE">
        <w:t>Modification History</w:t>
      </w:r>
    </w:p>
    <w:p w:rsidR="00000000" w:rsidRPr="00F34CCE" w:rsidP="006231C3">
      <w:pPr>
        <w:pStyle w:val="BodyText"/>
      </w:pPr>
      <w:r w:rsidRPr="00F34CCE">
        <w:t xml:space="preserve">Release 1. </w:t>
      </w:r>
    </w:p>
    <w:p w:rsidR="00000000" w:rsidRPr="00F34CCE" w:rsidP="006231C3">
      <w:pPr>
        <w:pStyle w:val="BodyText"/>
      </w:pPr>
      <w:r w:rsidRPr="00F34CCE">
        <w:t>This version first released with CPC Construction, Plumbing and Services Training Package Version 1.</w:t>
      </w:r>
    </w:p>
    <w:p w:rsidR="00000000" w:rsidRPr="00F34CCE" w:rsidP="00F34CCE">
      <w:pPr>
        <w:pStyle w:val="Heading1"/>
      </w:pPr>
      <w:bookmarkStart w:id="2" w:name="O_733914"/>
      <w:bookmarkEnd w:id="2"/>
      <w:r w:rsidRPr="00F34CCE">
        <w:t>Performance Evidence</w:t>
      </w:r>
    </w:p>
    <w:p w:rsidR="00000000" w:rsidRPr="00F34CCE" w:rsidP="006231C3">
      <w:pPr>
        <w:pStyle w:val="BodyText"/>
      </w:pPr>
      <w:r w:rsidRPr="00F34CCE">
        <w:t xml:space="preserve">A person demonstrating competency in this unit must satisfy all of the elements, performance criteria and foundation </w:t>
      </w:r>
      <w:r w:rsidRPr="00F34CCE">
        <w:t>skills of this unit. The person must process planning applications for four different projects, involving the following class 1 and 10 buildings or structures as defined in the Building Code of Australia (BCA), where:</w:t>
      </w:r>
    </w:p>
    <w:p w:rsidR="00000000" w:rsidRPr="00F34CCE" w:rsidP="00F34CCE">
      <w:pPr>
        <w:pStyle w:val="ListBullet"/>
      </w:pPr>
      <w:r w:rsidRPr="00F34CCE">
        <w:t>two projects must be for class 1a bui</w:t>
      </w:r>
      <w:r w:rsidRPr="00F34CCE">
        <w:t>ldings in different locations</w:t>
      </w:r>
    </w:p>
    <w:p w:rsidR="00000000" w:rsidRPr="00F34CCE" w:rsidP="00F34CCE">
      <w:pPr>
        <w:pStyle w:val="ListBullet"/>
      </w:pPr>
      <w:r w:rsidRPr="00F34CCE">
        <w:t>one project must be for a class 1b building</w:t>
      </w:r>
    </w:p>
    <w:p w:rsidR="00000000" w:rsidRPr="00F34CCE" w:rsidP="00F34CCE">
      <w:pPr>
        <w:pStyle w:val="ListBullet"/>
      </w:pPr>
      <w:r w:rsidRPr="00F34CCE">
        <w:t>one project must be for a class 10 building or structure: bushfire shelter, swimming pool or retaining wall.</w:t>
      </w:r>
    </w:p>
    <w:p w:rsidR="00000000" w:rsidRPr="00F34CCE" w:rsidP="00F34CCE">
      <w:pPr>
        <w:pStyle w:val="BodyText"/>
      </w:pPr>
    </w:p>
    <w:p w:rsidR="00000000" w:rsidRPr="00F34CCE" w:rsidP="006231C3">
      <w:pPr>
        <w:pStyle w:val="BodyText"/>
      </w:pPr>
      <w:r w:rsidRPr="00F34CCE">
        <w:t xml:space="preserve">At least two of the buildings must be three storeys. </w:t>
      </w:r>
    </w:p>
    <w:p w:rsidR="00000000" w:rsidRPr="00F34CCE" w:rsidP="006231C3">
      <w:pPr>
        <w:pStyle w:val="BodyText"/>
      </w:pPr>
      <w:r w:rsidRPr="00F34CCE">
        <w:t>In doing the abov</w:t>
      </w:r>
      <w:r w:rsidRPr="00F34CCE">
        <w:t>e, the person must also provide evidence of the ability to:</w:t>
      </w:r>
    </w:p>
    <w:p w:rsidR="00000000" w:rsidRPr="00F34CCE" w:rsidP="00F34CCE">
      <w:pPr>
        <w:pStyle w:val="ListBullet"/>
      </w:pPr>
      <w:r w:rsidRPr="00F34CCE">
        <w:t>identify relevant approving authority requirements for assessing and issuing planning permissions and ensure adherence to relevant administrative processes</w:t>
      </w:r>
    </w:p>
    <w:p w:rsidR="00000000" w:rsidRPr="00F34CCE" w:rsidP="00F34CCE">
      <w:pPr>
        <w:pStyle w:val="ListBullet"/>
      </w:pPr>
      <w:r w:rsidRPr="00F34CCE">
        <w:t>gather relevant planning application do</w:t>
      </w:r>
      <w:r w:rsidRPr="00F34CCE">
        <w:t>cumentation, including drawings, for each building project and assess each application for compliance with relevant legislation, codes, regulations and local planning authority requirements</w:t>
      </w:r>
    </w:p>
    <w:p w:rsidR="00000000" w:rsidRPr="00F34CCE" w:rsidP="00F34CCE">
      <w:pPr>
        <w:pStyle w:val="ListBullet"/>
      </w:pPr>
      <w:r w:rsidRPr="00F34CCE">
        <w:t>analyse documentation supplied by at least one external consultant</w:t>
      </w:r>
      <w:r w:rsidRPr="00F34CCE">
        <w:t xml:space="preserve"> for each planning application, to ensure information is accurate and complete and to determine compliance of the planning application</w:t>
      </w:r>
    </w:p>
    <w:p w:rsidR="00000000" w:rsidRPr="00F34CCE" w:rsidP="00F34CCE">
      <w:pPr>
        <w:pStyle w:val="ListBullet"/>
      </w:pPr>
      <w:r w:rsidRPr="00F34CCE">
        <w:t>identify and note areas of non-compliance and produce a range of alternative solutions for client consideration</w:t>
      </w:r>
    </w:p>
    <w:p w:rsidR="00000000" w:rsidRPr="00F34CCE" w:rsidP="00F34CCE">
      <w:pPr>
        <w:pStyle w:val="ListBullet"/>
      </w:pPr>
      <w:r w:rsidRPr="00F34CCE">
        <w:t xml:space="preserve">document </w:t>
      </w:r>
      <w:r w:rsidRPr="00F34CCE">
        <w:t>final planning permission for each building project, noting specific conditions and validity of each permit</w:t>
      </w:r>
    </w:p>
    <w:p w:rsidR="00000000" w:rsidRPr="00F34CCE" w:rsidP="00F34CCE">
      <w:pPr>
        <w:pStyle w:val="ListBullet"/>
      </w:pPr>
      <w:r w:rsidRPr="00F34CCE">
        <w:t>lodge final planning approval with the relevant authorities and notify the client.</w:t>
      </w:r>
    </w:p>
    <w:p w:rsidR="00000000" w:rsidRPr="00F34CCE" w:rsidP="00F34CCE">
      <w:pPr>
        <w:pStyle w:val="AllowPageBreak"/>
      </w:pPr>
    </w:p>
    <w:p w:rsidR="00000000" w:rsidRPr="00F34CCE" w:rsidP="00F34CCE">
      <w:pPr>
        <w:pStyle w:val="Heading1"/>
      </w:pPr>
      <w:bookmarkStart w:id="3" w:name="O_733913"/>
      <w:bookmarkEnd w:id="3"/>
      <w:r w:rsidRPr="00F34CCE">
        <w:t>Knowledge Evidence</w:t>
      </w:r>
    </w:p>
    <w:p w:rsidR="00000000" w:rsidRPr="00F34CCE" w:rsidP="006231C3">
      <w:pPr>
        <w:pStyle w:val="BodyText"/>
      </w:pPr>
      <w:r w:rsidRPr="00F34CCE">
        <w:t>A person demonstrating competency in this unit must demonstrate knowledge of:</w:t>
      </w:r>
    </w:p>
    <w:p w:rsidR="00000000" w:rsidRPr="00F34CCE" w:rsidP="00F34CCE">
      <w:pPr>
        <w:pStyle w:val="ListBullet"/>
      </w:pPr>
      <w:r w:rsidRPr="00F34CCE">
        <w:t>BCA classification and definitions for buildings included in classes 1 and 10</w:t>
      </w:r>
    </w:p>
    <w:p w:rsidR="00000000" w:rsidRPr="00F34CCE" w:rsidP="00F34CCE">
      <w:pPr>
        <w:pStyle w:val="ListBullet"/>
      </w:pPr>
      <w:r w:rsidRPr="00F34CCE">
        <w:t>construction methods and materials suitable for buildings in classes 1 and 10</w:t>
      </w:r>
    </w:p>
    <w:p w:rsidR="00000000" w:rsidRPr="00F34CCE" w:rsidP="00F34CCE">
      <w:pPr>
        <w:pStyle w:val="ListBullet"/>
      </w:pPr>
      <w:r w:rsidRPr="00F34CCE">
        <w:t>drawing symbols, nota</w:t>
      </w:r>
      <w:r w:rsidRPr="00F34CCE">
        <w:t>tions, acronyms and construction terminology used in the National Construction Code (NCC), Australian standards, working drawings, and building design specifications</w:t>
      </w:r>
    </w:p>
    <w:p w:rsidR="00000000" w:rsidRPr="00F34CCE" w:rsidP="00F34CCE">
      <w:pPr>
        <w:pStyle w:val="ListBullet"/>
      </w:pPr>
      <w:r w:rsidRPr="00F34CCE">
        <w:t>legislative and local planning and building requirements governing the issuing of planning</w:t>
      </w:r>
      <w:r w:rsidRPr="00F34CCE">
        <w:t xml:space="preserve"> approval permits in the jurisdictions relevant to each building specified in the performance evidence</w:t>
      </w:r>
    </w:p>
    <w:p w:rsidR="00000000" w:rsidRPr="00F34CCE" w:rsidP="00F34CCE">
      <w:pPr>
        <w:pStyle w:val="ListBullet"/>
      </w:pPr>
      <w:r w:rsidRPr="00F34CCE">
        <w:t>legislative roles and responsibilities of those issuing planning permits in the relevant jurisdiction.</w:t>
      </w:r>
    </w:p>
    <w:p w:rsidR="00000000" w:rsidRPr="00F34CCE" w:rsidP="00F34CCE">
      <w:pPr>
        <w:pStyle w:val="AllowPageBreak"/>
      </w:pPr>
    </w:p>
    <w:p w:rsidR="00000000" w:rsidRPr="00F34CCE" w:rsidP="00F34CCE">
      <w:pPr>
        <w:pStyle w:val="Heading1"/>
      </w:pPr>
      <w:bookmarkStart w:id="4" w:name="O_733912"/>
      <w:bookmarkEnd w:id="4"/>
      <w:r w:rsidRPr="00F34CCE">
        <w:t>Assessment Conditions</w:t>
      </w:r>
    </w:p>
    <w:p w:rsidR="00000000" w:rsidRPr="00F34CCE" w:rsidP="006231C3">
      <w:pPr>
        <w:pStyle w:val="BodyText"/>
      </w:pPr>
      <w:r w:rsidRPr="00F34CCE">
        <w:t>Suitable as</w:t>
      </w:r>
      <w:r w:rsidRPr="00F34CCE">
        <w:t>sessment of performance requires:</w:t>
      </w:r>
    </w:p>
    <w:p w:rsidR="00000000" w:rsidRPr="00F34CCE" w:rsidP="00F34CCE">
      <w:pPr>
        <w:pStyle w:val="ListBullet"/>
      </w:pPr>
      <w:r w:rsidRPr="00F34CCE">
        <w:t>equipment:</w:t>
      </w:r>
    </w:p>
    <w:p w:rsidR="00000000" w:rsidRPr="00F34CCE" w:rsidP="00F34CCE">
      <w:pPr>
        <w:pStyle w:val="ListBullet2"/>
      </w:pPr>
      <w:r w:rsidRPr="00F34CCE">
        <w:t>computer with internet access and business software currently in use in building surveying practices</w:t>
      </w:r>
    </w:p>
    <w:p w:rsidR="00000000" w:rsidRPr="00F34CCE" w:rsidP="00F34CCE">
      <w:pPr>
        <w:pStyle w:val="ListBullet"/>
      </w:pPr>
      <w:r w:rsidRPr="00F34CCE">
        <w:t>materials:</w:t>
      </w:r>
    </w:p>
    <w:p w:rsidR="00000000" w:rsidRPr="00F34CCE" w:rsidP="00F34CCE">
      <w:pPr>
        <w:pStyle w:val="ListBullet2"/>
      </w:pPr>
      <w:r w:rsidRPr="00F34CCE">
        <w:t>documentation to support planning applications specified in the performance evidence</w:t>
      </w:r>
    </w:p>
    <w:p w:rsidR="00000000" w:rsidRPr="00F34CCE" w:rsidP="00F34CCE">
      <w:pPr>
        <w:pStyle w:val="ListBullet"/>
      </w:pPr>
      <w:r w:rsidRPr="00F34CCE">
        <w:t>specifications:</w:t>
      </w:r>
    </w:p>
    <w:p w:rsidR="00000000" w:rsidRPr="00F34CCE" w:rsidP="00F34CCE">
      <w:pPr>
        <w:pStyle w:val="ListBullet2"/>
      </w:pPr>
      <w:r w:rsidRPr="00F34CCE">
        <w:t>access to relevant and current building control legislation, regulations, codes and standards and state, territory or local authority planning policies</w:t>
      </w:r>
    </w:p>
    <w:p w:rsidR="00000000" w:rsidRPr="00F34CCE" w:rsidP="00F34CCE">
      <w:pPr>
        <w:pStyle w:val="ListBullet"/>
      </w:pPr>
      <w:r w:rsidRPr="00F34CCE">
        <w:t>relationships with team members and supervisor:</w:t>
      </w:r>
    </w:p>
    <w:p w:rsidR="00000000" w:rsidRPr="00F34CCE" w:rsidP="00F34CCE">
      <w:pPr>
        <w:pStyle w:val="ListBullet2"/>
      </w:pPr>
      <w:r w:rsidRPr="00F34CCE">
        <w:t>access to a team of building surveyor</w:t>
      </w:r>
      <w:r w:rsidRPr="00F34CCE">
        <w:t>s with various levels of experience and approval authority</w:t>
      </w:r>
    </w:p>
    <w:p w:rsidR="00000000" w:rsidRPr="00F34CCE" w:rsidP="00F34CCE">
      <w:pPr>
        <w:pStyle w:val="ListBullet"/>
      </w:pPr>
      <w:r w:rsidRPr="00F34CCE">
        <w:t>relationship with client:</w:t>
      </w:r>
    </w:p>
    <w:p w:rsidR="00000000" w:rsidRPr="00F34CCE" w:rsidP="00F34CCE">
      <w:pPr>
        <w:pStyle w:val="ListBullet2"/>
      </w:pPr>
      <w:r w:rsidRPr="00F34CCE">
        <w:t>access to a range of clients who may include owner builders, developers, architects and building designers.</w:t>
      </w:r>
    </w:p>
    <w:p w:rsidR="00000000" w:rsidRPr="00F34CCE" w:rsidP="00F34CCE">
      <w:pPr>
        <w:pStyle w:val="BodyText"/>
      </w:pPr>
    </w:p>
    <w:p w:rsidR="00000000" w:rsidRPr="00F34CCE" w:rsidP="006231C3">
      <w:pPr>
        <w:pStyle w:val="Heading3"/>
      </w:pPr>
      <w:r w:rsidRPr="00F34CCE">
        <w:rPr>
          <w:rStyle w:val="SpecialBold"/>
        </w:rPr>
        <w:t>Assessor requirements</w:t>
      </w:r>
    </w:p>
    <w:p w:rsidR="00000000" w:rsidRPr="00F34CCE" w:rsidP="006231C3">
      <w:pPr>
        <w:pStyle w:val="BodyText"/>
      </w:pPr>
      <w:r w:rsidRPr="00F34CCE">
        <w:t>Assessors must satisfy the assessor re</w:t>
      </w:r>
      <w:r w:rsidRPr="00F34CCE">
        <w:t>quirements in the Standards for Registered Training Organisations (RTOs) current at the time of assessment.</w:t>
      </w:r>
    </w:p>
    <w:p w:rsidR="00000000" w:rsidRPr="00F34CCE" w:rsidP="006231C3">
      <w:pPr>
        <w:pStyle w:val="BodyText"/>
      </w:pPr>
      <w:r w:rsidRPr="00F34CCE">
        <w:t>In addition, assessors must also demonstrate current membership of a relevant industry association and have current registration on the National Bu</w:t>
      </w:r>
      <w:r w:rsidRPr="00F34CCE">
        <w:t>ilding Professionals Register in the Building Industry Control category (level 1) or be accredited under the Australian Institute of Building Surveyors (AIBS) National Accreditation Scheme at Building Surveyor level.</w:t>
      </w:r>
    </w:p>
    <w:p w:rsidR="00000000" w:rsidRPr="00F34CCE" w:rsidP="00F34CCE">
      <w:pPr>
        <w:pStyle w:val="Heading1"/>
      </w:pPr>
      <w:bookmarkStart w:id="5" w:name="O_733910"/>
      <w:bookmarkEnd w:id="5"/>
      <w:r w:rsidRPr="00F34CCE">
        <w:t>Links</w:t>
      </w:r>
    </w:p>
    <w:p w:rsidR="00000000" w:rsidRPr="00F34CCE" w:rsidP="006231C3">
      <w:pPr>
        <w:pStyle w:val="BodyText"/>
      </w:pPr>
      <w:r w:rsidRPr="00F34CCE">
        <w:t>Companion Volume</w:t>
      </w:r>
      <w:r w:rsidRPr="00F34CCE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D125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34CCE" w:rsidP="00F34CCE"/>
    <w:sectPr w:rsidSect="00F34CC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C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CCE" w:rsidRPr="006231C3" w:rsidP="006231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C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1C3" w:rsidP="00F34C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31C3" w:rsidP="00F34C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231C3" w:rsidP="00F34C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C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1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4CCE" w:rsidRPr="006231C3" w:rsidP="006231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C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1C3" w:rsidRPr="002D2AF8" w:rsidP="00F34C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CPCCBS6006 Process planning applications for residential buildings up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2020</w:t>
    </w:r>
    <w:r>
      <w:fldChar w:fldCharType="end"/>
    </w:r>
  </w:p>
  <w:p w:rsidR="006231C3" w:rsidP="00F34C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46A9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6AC8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B69C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C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4C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4C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4C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4C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4C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4C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4C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4C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4C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4C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4CCE"/>
  </w:style>
  <w:style w:type="character" w:customStyle="1" w:styleId="Heading1Char">
    <w:name w:val="Heading 1 Char"/>
    <w:basedOn w:val="DefaultParagraphFont"/>
    <w:link w:val="Heading1"/>
    <w:rsid w:val="00F34C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4C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4C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4C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4CCE"/>
    <w:rPr>
      <w:b/>
      <w:spacing w:val="0"/>
    </w:rPr>
  </w:style>
  <w:style w:type="paragraph" w:styleId="ListBullet2">
    <w:name w:val="List Bullet 2"/>
    <w:basedOn w:val="List2"/>
    <w:rsid w:val="00F34CC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4C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4C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4C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4C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4C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4C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4C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4C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4C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4C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4C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4C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4C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4C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4C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4C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4C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4C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4C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4C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4C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4C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4C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4C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4C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4C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4C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4C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4C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4C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4C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4C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4C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4C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4CCE"/>
    <w:rPr>
      <w:i/>
    </w:rPr>
  </w:style>
  <w:style w:type="paragraph" w:styleId="Caption">
    <w:name w:val="caption"/>
    <w:basedOn w:val="BodyText"/>
    <w:next w:val="Normal"/>
    <w:qFormat/>
    <w:rsid w:val="00F34C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4C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4C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4CCE"/>
  </w:style>
  <w:style w:type="paragraph" w:styleId="TableofFigures">
    <w:name w:val="table of figures"/>
    <w:basedOn w:val="Normal"/>
    <w:next w:val="Normal"/>
    <w:semiHidden/>
    <w:rsid w:val="00F34C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4C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4CCE"/>
    <w:rPr>
      <w:rFonts w:ascii="Wingdings" w:hAnsi="Wingdings"/>
    </w:rPr>
  </w:style>
  <w:style w:type="paragraph" w:customStyle="1" w:styleId="TableHeading">
    <w:name w:val="Table Heading"/>
    <w:basedOn w:val="HeadingBase"/>
    <w:rsid w:val="00F34C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4CCE"/>
    <w:rPr>
      <w:color w:val="0033CC"/>
      <w:u w:val="none"/>
    </w:rPr>
  </w:style>
  <w:style w:type="paragraph" w:customStyle="1" w:styleId="BodyTextRight">
    <w:name w:val="Body Text Right"/>
    <w:basedOn w:val="BodyText"/>
    <w:rsid w:val="00F34C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4C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4C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4C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4C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4C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4CCE"/>
    <w:rPr>
      <w:sz w:val="32"/>
    </w:rPr>
  </w:style>
  <w:style w:type="paragraph" w:customStyle="1" w:styleId="HeadingProcedure">
    <w:name w:val="Heading Procedure"/>
    <w:basedOn w:val="HeadingBase"/>
    <w:next w:val="Normal"/>
    <w:rsid w:val="00F34C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4CCE"/>
    <w:pPr>
      <w:spacing w:before="60" w:after="60"/>
    </w:pPr>
  </w:style>
  <w:style w:type="paragraph" w:styleId="ListContinue">
    <w:name w:val="List Continue"/>
    <w:basedOn w:val="List"/>
    <w:rsid w:val="00F34CCE"/>
    <w:pPr>
      <w:ind w:firstLine="0"/>
    </w:pPr>
  </w:style>
  <w:style w:type="paragraph" w:customStyle="1" w:styleId="ListNote">
    <w:name w:val="List Note"/>
    <w:basedOn w:val="List"/>
    <w:rsid w:val="00F34C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4C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4C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4CCE"/>
    <w:rPr>
      <w:rFonts w:ascii="Courier New" w:hAnsi="Courier New"/>
    </w:rPr>
  </w:style>
  <w:style w:type="paragraph" w:customStyle="1" w:styleId="NoteBullet">
    <w:name w:val="Note Bullet"/>
    <w:basedOn w:val="Note"/>
    <w:rsid w:val="00F34C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4C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4C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4C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4C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4C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4C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4CCE"/>
    <w:rPr>
      <w:b/>
      <w:smallCaps/>
    </w:rPr>
  </w:style>
  <w:style w:type="paragraph" w:customStyle="1" w:styleId="TableListNumber">
    <w:name w:val="Table List Number"/>
    <w:basedOn w:val="ListNumber"/>
    <w:rsid w:val="00F34C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4C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4CCE"/>
    <w:pPr>
      <w:numPr>
        <w:numId w:val="9"/>
      </w:numPr>
    </w:pPr>
  </w:style>
  <w:style w:type="paragraph" w:customStyle="1" w:styleId="ListAlpha2">
    <w:name w:val="List Alpha 2"/>
    <w:basedOn w:val="List2"/>
    <w:rsid w:val="00F34CCE"/>
    <w:pPr>
      <w:numPr>
        <w:numId w:val="8"/>
      </w:numPr>
    </w:pPr>
  </w:style>
  <w:style w:type="paragraph" w:styleId="List2">
    <w:name w:val="List 2"/>
    <w:basedOn w:val="BodyText"/>
    <w:rsid w:val="00F34C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4C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4C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4C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4C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4C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4CCE"/>
    <w:pPr>
      <w:numPr>
        <w:numId w:val="4"/>
      </w:numPr>
    </w:pPr>
  </w:style>
  <w:style w:type="paragraph" w:styleId="ListContinue2">
    <w:name w:val="List Continue 2"/>
    <w:basedOn w:val="List2"/>
    <w:rsid w:val="00F34CCE"/>
    <w:pPr>
      <w:ind w:firstLine="0"/>
    </w:pPr>
  </w:style>
  <w:style w:type="paragraph" w:styleId="ListContinue3">
    <w:name w:val="List Continue 3"/>
    <w:basedOn w:val="List3"/>
    <w:rsid w:val="00F34CCE"/>
    <w:pPr>
      <w:ind w:left="1021" w:firstLine="0"/>
    </w:pPr>
  </w:style>
  <w:style w:type="paragraph" w:styleId="ListContinue4">
    <w:name w:val="List Continue 4"/>
    <w:basedOn w:val="List4"/>
    <w:rsid w:val="00F34CCE"/>
    <w:pPr>
      <w:ind w:firstLine="0"/>
    </w:pPr>
  </w:style>
  <w:style w:type="paragraph" w:styleId="ListContinue5">
    <w:name w:val="List Continue 5"/>
    <w:basedOn w:val="List5"/>
    <w:rsid w:val="00F34CCE"/>
    <w:pPr>
      <w:ind w:firstLine="0"/>
    </w:pPr>
  </w:style>
  <w:style w:type="paragraph" w:styleId="ListNumber3">
    <w:name w:val="List Number 3"/>
    <w:basedOn w:val="List3"/>
    <w:rsid w:val="00F34CCE"/>
    <w:pPr>
      <w:numPr>
        <w:numId w:val="5"/>
      </w:numPr>
    </w:pPr>
  </w:style>
  <w:style w:type="paragraph" w:styleId="ListNumber4">
    <w:name w:val="List Number 4"/>
    <w:basedOn w:val="List4"/>
    <w:rsid w:val="00F34CCE"/>
    <w:pPr>
      <w:numPr>
        <w:numId w:val="6"/>
      </w:numPr>
    </w:pPr>
  </w:style>
  <w:style w:type="paragraph" w:styleId="ListNumber5">
    <w:name w:val="List Number 5"/>
    <w:basedOn w:val="List5"/>
    <w:rsid w:val="00F34CCE"/>
    <w:pPr>
      <w:numPr>
        <w:numId w:val="7"/>
      </w:numPr>
    </w:pPr>
  </w:style>
  <w:style w:type="paragraph" w:styleId="BlockText">
    <w:name w:val="Block Text"/>
    <w:basedOn w:val="Normal"/>
    <w:rsid w:val="00F34C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4C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4CCE"/>
    <w:rPr>
      <w:sz w:val="16"/>
      <w:vertAlign w:val="superscript"/>
    </w:rPr>
  </w:style>
  <w:style w:type="character" w:customStyle="1" w:styleId="Symbols">
    <w:name w:val="Symbols"/>
    <w:basedOn w:val="DefaultParagraphFont"/>
    <w:rsid w:val="00F34CCE"/>
    <w:rPr>
      <w:rFonts w:ascii="Symbol" w:hAnsi="Symbol"/>
    </w:rPr>
  </w:style>
  <w:style w:type="character" w:customStyle="1" w:styleId="MenuOptions">
    <w:name w:val="Menu Options"/>
    <w:basedOn w:val="DefaultParagraphFont"/>
    <w:rsid w:val="00F34C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4CCE"/>
    <w:rPr>
      <w:b/>
    </w:rPr>
  </w:style>
  <w:style w:type="character" w:customStyle="1" w:styleId="Underlined">
    <w:name w:val="Underlined"/>
    <w:basedOn w:val="DefaultParagraphFont"/>
    <w:rsid w:val="00F34CCE"/>
    <w:rPr>
      <w:u w:val="single"/>
    </w:rPr>
  </w:style>
  <w:style w:type="paragraph" w:customStyle="1" w:styleId="TableBodyTextRight">
    <w:name w:val="Table Body Text Right"/>
    <w:basedOn w:val="TableBodyText"/>
    <w:rsid w:val="00F34C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4CCE"/>
    <w:rPr>
      <w:sz w:val="18"/>
    </w:rPr>
  </w:style>
  <w:style w:type="paragraph" w:customStyle="1" w:styleId="BodySmallRight">
    <w:name w:val="Body Small Right"/>
    <w:basedOn w:val="BodyTextRight"/>
    <w:rsid w:val="00F34CCE"/>
    <w:rPr>
      <w:sz w:val="18"/>
      <w:szCs w:val="18"/>
    </w:rPr>
  </w:style>
  <w:style w:type="paragraph" w:customStyle="1" w:styleId="MarginEdition">
    <w:name w:val="Margin Edition"/>
    <w:basedOn w:val="MarginNote"/>
    <w:rsid w:val="00F34C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4CCE"/>
    <w:rPr>
      <w:sz w:val="2"/>
      <w:szCs w:val="2"/>
    </w:rPr>
  </w:style>
  <w:style w:type="character" w:customStyle="1" w:styleId="Small">
    <w:name w:val="Small"/>
    <w:basedOn w:val="DefaultParagraphFont"/>
    <w:rsid w:val="00F34CCE"/>
    <w:rPr>
      <w:sz w:val="16"/>
    </w:rPr>
  </w:style>
  <w:style w:type="paragraph" w:customStyle="1" w:styleId="WideTable">
    <w:name w:val="Wide Table"/>
    <w:basedOn w:val="Normal"/>
    <w:rsid w:val="00F34C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4CCE"/>
  </w:style>
  <w:style w:type="paragraph" w:styleId="Quote">
    <w:name w:val="Quote"/>
    <w:basedOn w:val="Heading1"/>
    <w:link w:val="QuoteChar"/>
    <w:qFormat/>
    <w:rsid w:val="00F34C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4C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4CCE"/>
    <w:pPr>
      <w:pageBreakBefore/>
    </w:pPr>
  </w:style>
  <w:style w:type="paragraph" w:customStyle="1" w:styleId="Border">
    <w:name w:val="Border"/>
    <w:basedOn w:val="Normal"/>
    <w:qFormat/>
    <w:rsid w:val="00F34C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4C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4C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4C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4C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4C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4C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4C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4C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4CCE"/>
    <w:rPr>
      <w:u w:val="single"/>
    </w:rPr>
  </w:style>
  <w:style w:type="character" w:customStyle="1" w:styleId="BoldandItalics">
    <w:name w:val="Bold and Italics"/>
    <w:qFormat/>
    <w:rsid w:val="00F34CCE"/>
    <w:rPr>
      <w:b/>
      <w:i/>
      <w:u w:val="none"/>
    </w:rPr>
  </w:style>
  <w:style w:type="paragraph" w:styleId="BalloonText">
    <w:name w:val="Balloon Text"/>
    <w:basedOn w:val="Normal"/>
    <w:link w:val="BalloonTextChar"/>
    <w:rsid w:val="00F34C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4C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4C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4C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4C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4C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4CCE"/>
    <w:pPr>
      <w:spacing w:before="0" w:after="0"/>
    </w:pPr>
  </w:style>
  <w:style w:type="paragraph" w:customStyle="1" w:styleId="BodyTextBold">
    <w:name w:val="Body Text Bold"/>
    <w:basedOn w:val="BodyText"/>
    <w:qFormat/>
    <w:rsid w:val="00F34CCE"/>
    <w:rPr>
      <w:b/>
    </w:rPr>
  </w:style>
  <w:style w:type="character" w:styleId="Hyperlink">
    <w:name w:val="Hyperlink"/>
    <w:basedOn w:val="DefaultParagraphFont"/>
    <w:uiPriority w:val="99"/>
    <w:unhideWhenUsed/>
    <w:rsid w:val="006231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3721</Characters>
  <Application>Microsoft Office Word</Application>
  <DocSecurity>0</DocSecurity>
  <Lines>86</Lines>
  <Paragraphs>51</Paragraphs>
  <ScaleCrop>false</ScaleCrop>
  <Company>Author-it Software Corporation Ltd.</Company>
  <LinksUpToDate>false</LinksUpToDate>
  <CharactersWithSpaces>4245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CPCCBS6006 Process planning applications for residential buildings up to three storeys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2020-12-23T10:38:00Z</dcterms:created>
  <dcterms:modified xsi:type="dcterms:W3CDTF">2020-12-23T10:38:00Z</dcterms:modified>
</cp:coreProperties>
</file>