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482E" w:rsidP="00AF482E">
      <w:pPr>
        <w:pStyle w:val="Title"/>
      </w:pPr>
      <w:r>
        <w:fldChar w:fldCharType="begin"/>
      </w:r>
      <w:r>
        <w:instrText xml:space="preserve"> TITLE   \* MERGEFORMAT </w:instrText>
      </w:r>
      <w:r>
        <w:fldChar w:fldCharType="separate"/>
      </w:r>
      <w:r>
        <w:t>CPCCBS6005 Assess and advise on compliance of design documentation for commercial buildings to three storeys</w:t>
      </w:r>
      <w:r>
        <w:fldChar w:fldCharType="end"/>
      </w:r>
    </w:p>
    <w:p w:rsidR="00AF482E" w:rsidP="00AF482E">
      <w:pPr>
        <w:pStyle w:val="Version"/>
        <w:sectPr w:rsidSect="007A7A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A7A65" w:rsidP="007A7A65">
      <w:pPr>
        <w:pStyle w:val="SuperHeading"/>
      </w:pPr>
      <w:r w:rsidRPr="007A7A65">
        <w:t>CPCCBS6005 Assess and advise on compliance of design documentation for commercial buildings to three storeys</w:t>
      </w:r>
    </w:p>
    <w:p w:rsidR="00000000" w:rsidRPr="007A7A65" w:rsidP="007A7A65">
      <w:pPr>
        <w:pStyle w:val="Heading1"/>
      </w:pPr>
      <w:bookmarkStart w:id="1" w:name="O_867727"/>
      <w:bookmarkEnd w:id="1"/>
      <w:r w:rsidRPr="007A7A65">
        <w:t>Modification History</w:t>
      </w:r>
    </w:p>
    <w:tbl>
      <w:tblPr>
        <w:tblW w:w="9242" w:type="dxa"/>
        <w:tblLayout w:type="fixed"/>
        <w:tblCellMar>
          <w:left w:w="62" w:type="dxa"/>
          <w:right w:w="62" w:type="dxa"/>
        </w:tblCellMar>
        <w:tblLook w:val="0000"/>
      </w:tblPr>
      <w:tblGrid>
        <w:gridCol w:w="1112"/>
        <w:gridCol w:w="8130"/>
      </w:tblGrid>
      <w:tr w:rsidTr="007A7A65">
        <w:tblPrEx>
          <w:tblW w:w="9242" w:type="dxa"/>
          <w:tblLayout w:type="fixed"/>
          <w:tblCellMar>
            <w:left w:w="62" w:type="dxa"/>
            <w:right w:w="62" w:type="dxa"/>
          </w:tblCellMar>
          <w:tblLook w:val="0000"/>
        </w:tblPrEx>
        <w:trPr>
          <w:trHeight w:val="20"/>
        </w:trPr>
        <w:tc>
          <w:tcPr>
            <w:tcW w:w="1112" w:type="dxa"/>
            <w:tcBorders>
              <w:top w:val="nil"/>
              <w:left w:val="nil"/>
              <w:bottom w:val="nil"/>
              <w:right w:val="nil"/>
            </w:tcBorders>
            <w:tcMar>
              <w:top w:w="0" w:type="dxa"/>
              <w:left w:w="62" w:type="dxa"/>
              <w:bottom w:w="0" w:type="dxa"/>
              <w:right w:w="62" w:type="dxa"/>
            </w:tcMar>
          </w:tcPr>
          <w:p w:rsidR="00000000" w:rsidRPr="007A7A65" w:rsidP="007A7A65">
            <w:pPr>
              <w:pStyle w:val="BodyText"/>
            </w:pPr>
            <w:r w:rsidRPr="007A7A65">
              <w:rPr>
                <w:rStyle w:val="SpecialBold"/>
              </w:rPr>
              <w:t>Release</w:t>
            </w:r>
          </w:p>
        </w:tc>
        <w:tc>
          <w:tcPr>
            <w:tcW w:w="813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rPr>
                <w:rStyle w:val="SpecialBold"/>
              </w:rPr>
              <w:t>Comments</w:t>
            </w:r>
          </w:p>
        </w:tc>
      </w:tr>
      <w:tr w:rsidTr="007A7A65">
        <w:tblPrEx>
          <w:tblW w:w="9242" w:type="dxa"/>
          <w:tblLayout w:type="fixed"/>
          <w:tblCellMar>
            <w:left w:w="62" w:type="dxa"/>
            <w:right w:w="62" w:type="dxa"/>
          </w:tblCellMar>
          <w:tblLook w:val="0000"/>
        </w:tblPrEx>
        <w:trPr>
          <w:trHeight w:val="20"/>
        </w:trPr>
        <w:tc>
          <w:tcPr>
            <w:tcW w:w="1112"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1.1</w:t>
            </w:r>
          </w:p>
        </w:tc>
        <w:tc>
          <w:tcPr>
            <w:tcW w:w="8130" w:type="dxa"/>
            <w:tcBorders>
              <w:top w:val="nil"/>
              <w:left w:val="nil"/>
              <w:bottom w:val="nil"/>
              <w:right w:val="nil"/>
            </w:tcBorders>
            <w:tcMar>
              <w:top w:w="0" w:type="dxa"/>
              <w:left w:w="62" w:type="dxa"/>
              <w:bottom w:w="0" w:type="dxa"/>
              <w:right w:w="62" w:type="dxa"/>
            </w:tcMar>
          </w:tcPr>
          <w:p w:rsidR="00000000" w:rsidRPr="007A7A65" w:rsidP="007A7A65">
            <w:pPr>
              <w:pStyle w:val="BodyText"/>
            </w:pPr>
            <w:r w:rsidRPr="007A7A65">
              <w:t>Replaces superseded equivalent CPCCBS6005 Assess and advise on compliance of design documentation for commercial buildings to three storeys.</w:t>
            </w:r>
          </w:p>
          <w:p w:rsidR="00000000" w:rsidRPr="007A7A65" w:rsidP="007A7A65">
            <w:pPr>
              <w:pStyle w:val="BodyText"/>
            </w:pPr>
            <w:r w:rsidRPr="007A7A65">
              <w:t>This version first released with CPC Construction, Plumbing and Services Training Package Version 1.1.</w:t>
            </w:r>
          </w:p>
          <w:p w:rsidR="00000000" w:rsidP="007A7A65">
            <w:pPr>
              <w:pStyle w:val="BodyText"/>
              <w:rPr>
                <w:lang w:val="en-NZ"/>
              </w:rPr>
            </w:pPr>
          </w:p>
        </w:tc>
      </w:tr>
      <w:tr w:rsidTr="007A7A65">
        <w:tblPrEx>
          <w:tblW w:w="9242" w:type="dxa"/>
          <w:tblLayout w:type="fixed"/>
          <w:tblCellMar>
            <w:left w:w="62" w:type="dxa"/>
            <w:right w:w="62" w:type="dxa"/>
          </w:tblCellMar>
          <w:tblLook w:val="0000"/>
        </w:tblPrEx>
        <w:trPr>
          <w:trHeight w:val="20"/>
        </w:trPr>
        <w:tc>
          <w:tcPr>
            <w:tcW w:w="1112"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1</w:t>
            </w:r>
          </w:p>
        </w:tc>
        <w:tc>
          <w:tcPr>
            <w:tcW w:w="8130" w:type="dxa"/>
            <w:tcBorders>
              <w:top w:val="nil"/>
              <w:left w:val="nil"/>
              <w:bottom w:val="nil"/>
              <w:right w:val="nil"/>
            </w:tcBorders>
            <w:tcMar>
              <w:top w:w="0" w:type="dxa"/>
              <w:left w:w="62" w:type="dxa"/>
              <w:bottom w:w="0" w:type="dxa"/>
              <w:right w:w="62" w:type="dxa"/>
            </w:tcMar>
          </w:tcPr>
          <w:p w:rsidR="00000000" w:rsidRPr="007A7A65" w:rsidP="007A7A65">
            <w:pPr>
              <w:pStyle w:val="BodyText"/>
            </w:pPr>
            <w:r w:rsidRPr="007A7A65">
              <w:t>New unit</w:t>
            </w:r>
            <w:r w:rsidRPr="007A7A65">
              <w:t xml:space="preserve"> of competency.</w:t>
            </w:r>
          </w:p>
          <w:p w:rsidR="00000000" w:rsidRPr="007A7A65" w:rsidP="007A7A65">
            <w:pPr>
              <w:pStyle w:val="BodyText"/>
            </w:pPr>
            <w:r w:rsidRPr="007A7A65">
              <w:t>This version first released with CPC Construction, Plumbing and Services Training Package Version 1.</w:t>
            </w:r>
          </w:p>
        </w:tc>
      </w:tr>
    </w:tbl>
    <w:p w:rsidR="00000000" w:rsidRPr="007A7A65" w:rsidP="007A7A65">
      <w:pPr>
        <w:pStyle w:val="BodyText"/>
      </w:pPr>
    </w:p>
    <w:p w:rsidR="00000000" w:rsidRPr="007A7A65" w:rsidP="007A7A65">
      <w:pPr>
        <w:pStyle w:val="AllowPageBreak"/>
      </w:pPr>
    </w:p>
    <w:p w:rsidR="00000000" w:rsidRPr="007A7A65" w:rsidP="007A7A65">
      <w:pPr>
        <w:pStyle w:val="Heading1"/>
      </w:pPr>
      <w:bookmarkStart w:id="2" w:name="O_867726"/>
      <w:bookmarkEnd w:id="2"/>
      <w:r w:rsidRPr="007A7A65">
        <w:t>Application</w:t>
      </w:r>
    </w:p>
    <w:p w:rsidR="00000000" w:rsidRPr="007A7A65" w:rsidP="00AF482E">
      <w:pPr>
        <w:pStyle w:val="BodyText"/>
      </w:pPr>
      <w:r w:rsidRPr="007A7A65">
        <w:t>This unit of competency specifies the outcomes required to review proposed building design documentation for</w:t>
      </w:r>
      <w:r w:rsidRPr="007A7A65">
        <w:t xml:space="preserve"> buildings included in Building Code of Australia (BCA) definitions for classes 2 to 9 (up to three storeys), during the design process. It applies to providing advice on the preparation of planning and building approval applications and on the compliance </w:t>
      </w:r>
      <w:r w:rsidRPr="007A7A65">
        <w:t xml:space="preserve">of proposed design documentation with the requirements of the building and planning legislation, regulations, codes and standards that apply to the nature and location of each project. </w:t>
      </w:r>
    </w:p>
    <w:p w:rsidR="00000000" w:rsidRPr="007A7A65" w:rsidP="00AF482E">
      <w:pPr>
        <w:pStyle w:val="BodyText"/>
      </w:pPr>
      <w:r w:rsidRPr="007A7A65">
        <w:t>The unit supports the work of building surveyors providing advisory c</w:t>
      </w:r>
      <w:r w:rsidRPr="007A7A65">
        <w:t>ode-consulting services to building and construction professionals involved in developing building design documentation up to the building approval application stage. The building surveyor may provide advice concurrently on a range of building design proje</w:t>
      </w:r>
      <w:r w:rsidRPr="007A7A65">
        <w:t xml:space="preserve">cts in different locations. </w:t>
      </w:r>
    </w:p>
    <w:p w:rsidR="00000000" w:rsidRPr="007A7A65" w:rsidP="00AF482E">
      <w:pPr>
        <w:pStyle w:val="BodyText"/>
      </w:pPr>
      <w:r w:rsidRPr="007A7A65">
        <w:t>Building surveyors must operate within the regulatory constraints that govern the relationship between their advisory and statutory roles and ensure that no conflict of interest arises.</w:t>
      </w:r>
    </w:p>
    <w:p w:rsidR="00000000" w:rsidRPr="007A7A65" w:rsidP="00AF482E">
      <w:pPr>
        <w:pStyle w:val="BodyText"/>
      </w:pPr>
      <w:r w:rsidRPr="007A7A65">
        <w:t>Licensing, legislative, regulatory or certification requirements apply to this unit in some States. Relevant state and territory regulatory authorities should be consulted to confirm those requirements.</w:t>
      </w:r>
    </w:p>
    <w:p w:rsidR="00000000" w:rsidRPr="007A7A65" w:rsidP="007A7A65">
      <w:pPr>
        <w:pStyle w:val="Heading1"/>
      </w:pPr>
      <w:bookmarkStart w:id="3" w:name="O_867725"/>
      <w:bookmarkEnd w:id="3"/>
      <w:r w:rsidRPr="007A7A65">
        <w:t>Pre-requisite Unit</w:t>
      </w:r>
    </w:p>
    <w:p w:rsidR="00000000" w:rsidRPr="007A7A65" w:rsidP="00AF482E">
      <w:pPr>
        <w:pStyle w:val="BodyText"/>
      </w:pPr>
      <w:r w:rsidRPr="007A7A65">
        <w:t>Nil</w:t>
      </w:r>
    </w:p>
    <w:p w:rsidR="00000000" w:rsidRPr="007A7A65" w:rsidP="007A7A65">
      <w:pPr>
        <w:pStyle w:val="Heading1"/>
      </w:pPr>
      <w:bookmarkStart w:id="4" w:name="O_867724"/>
      <w:bookmarkEnd w:id="4"/>
      <w:r w:rsidRPr="007A7A65">
        <w:t>Competency Field</w:t>
      </w:r>
    </w:p>
    <w:p w:rsidR="00000000" w:rsidRPr="007A7A65" w:rsidP="00AF482E">
      <w:pPr>
        <w:pStyle w:val="BodyText"/>
      </w:pPr>
      <w:r w:rsidRPr="007A7A65">
        <w:t>Building surveying</w:t>
      </w:r>
    </w:p>
    <w:p w:rsidR="00000000" w:rsidRPr="007A7A65" w:rsidP="007A7A65">
      <w:pPr>
        <w:pStyle w:val="Heading1"/>
      </w:pPr>
      <w:bookmarkStart w:id="5" w:name="O_867723"/>
      <w:bookmarkEnd w:id="5"/>
      <w:r w:rsidRPr="007A7A65">
        <w:t>Unit Sector</w:t>
      </w:r>
    </w:p>
    <w:p w:rsidR="00000000" w:rsidRPr="007A7A65" w:rsidP="00AF482E">
      <w:pPr>
        <w:pStyle w:val="BodyText"/>
      </w:pPr>
      <w:r w:rsidRPr="007A7A65">
        <w:t>Construction</w:t>
      </w:r>
    </w:p>
    <w:p w:rsidR="00000000" w:rsidRPr="007A7A65" w:rsidP="007A7A65">
      <w:pPr>
        <w:pStyle w:val="Heading1"/>
      </w:pPr>
      <w:bookmarkStart w:id="6" w:name="O_867722"/>
      <w:bookmarkEnd w:id="6"/>
      <w:r w:rsidRPr="007A7A65">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7A7A6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 xml:space="preserve">Performance criteria describe the performance needed to demonstrate achievement </w:t>
            </w:r>
            <w:r w:rsidRPr="007A7A65">
              <w:t>of the element. Where bold italicised text is used, further information is detailed in the range of conditions.</w:t>
            </w:r>
          </w:p>
        </w:tc>
      </w:tr>
      <w:tr w:rsidTr="007A7A65">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1.</w:t>
            </w:r>
          </w:p>
        </w:tc>
        <w:tc>
          <w:tcPr>
            <w:tcW w:w="2100" w:type="dxa"/>
            <w:vMerge w:val="restart"/>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Plan and manage code consulting services.</w:t>
            </w:r>
          </w:p>
        </w:tc>
        <w:tc>
          <w:tcPr>
            <w:tcW w:w="77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1.1.</w:t>
            </w:r>
          </w:p>
        </w:tc>
        <w:tc>
          <w:tcPr>
            <w:tcW w:w="561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Scope and nature of advice required by clients are determined and details of services to be offered at different stages of projects, timelines and fees are identified and confirmed.</w:t>
            </w:r>
          </w:p>
        </w:tc>
      </w:tr>
      <w:tr w:rsidTr="007A7A6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1.2.</w:t>
            </w:r>
          </w:p>
        </w:tc>
        <w:tc>
          <w:tcPr>
            <w:tcW w:w="561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 xml:space="preserve">External personnel required to provide advice at different stages </w:t>
            </w:r>
            <w:r w:rsidRPr="007A7A65">
              <w:t xml:space="preserve">of projects, or on </w:t>
            </w:r>
            <w:r w:rsidRPr="007A7A65">
              <w:rPr>
                <w:rStyle w:val="BoldandItalics"/>
              </w:rPr>
              <w:t>specialist areas of expertise</w:t>
            </w:r>
            <w:r w:rsidRPr="007A7A65">
              <w:t>, are identified, engaged and briefed.</w:t>
            </w:r>
          </w:p>
        </w:tc>
      </w:tr>
      <w:tr w:rsidTr="007A7A6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1.3.</w:t>
            </w:r>
          </w:p>
        </w:tc>
        <w:tc>
          <w:tcPr>
            <w:tcW w:w="561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Project management processes are implemented and monitored to ensure accurate and timely advice is provided within the scope of specified service levels.</w:t>
            </w:r>
          </w:p>
        </w:tc>
      </w:tr>
      <w:tr w:rsidTr="007A7A6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1.4.</w:t>
            </w:r>
          </w:p>
        </w:tc>
        <w:tc>
          <w:tcPr>
            <w:tcW w:w="561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File management processes are implemented and monitored according to workplace requirements.</w:t>
            </w:r>
          </w:p>
        </w:tc>
      </w:tr>
      <w:tr w:rsidTr="007A7A6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7A7A65">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2.</w:t>
            </w:r>
          </w:p>
        </w:tc>
        <w:tc>
          <w:tcPr>
            <w:tcW w:w="2100" w:type="dxa"/>
            <w:vMerge w:val="restart"/>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Confirm compliance requirements for different projects and inform clients.</w:t>
            </w:r>
          </w:p>
        </w:tc>
        <w:tc>
          <w:tcPr>
            <w:tcW w:w="77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2.1.</w:t>
            </w:r>
          </w:p>
        </w:tc>
        <w:tc>
          <w:tcPr>
            <w:tcW w:w="561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State or territory building control legislation and regulations for the b</w:t>
            </w:r>
            <w:r w:rsidRPr="007A7A65">
              <w:t>uilding or structure, and location of each project, are researched and confirmed.</w:t>
            </w:r>
          </w:p>
        </w:tc>
      </w:tr>
      <w:tr w:rsidTr="007A7A6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2.2.</w:t>
            </w:r>
          </w:p>
        </w:tc>
        <w:tc>
          <w:tcPr>
            <w:tcW w:w="561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 xml:space="preserve">Requirements of the National Construction Code (NCC) and Australian standards referenced by the NCC for the building or structure, and location </w:t>
            </w:r>
            <w:r w:rsidRPr="007A7A65">
              <w:t>of each project, are confirmed.</w:t>
            </w:r>
          </w:p>
        </w:tc>
      </w:tr>
      <w:tr w:rsidTr="007A7A6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2.3.</w:t>
            </w:r>
          </w:p>
        </w:tc>
        <w:tc>
          <w:tcPr>
            <w:tcW w:w="561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 xml:space="preserve">State or territory and local authority planning constraints </w:t>
            </w:r>
            <w:r w:rsidRPr="007A7A65">
              <w:t>are researched and confirmed.</w:t>
            </w:r>
          </w:p>
        </w:tc>
      </w:tr>
      <w:tr w:rsidTr="007A7A6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2.4.</w:t>
            </w:r>
          </w:p>
        </w:tc>
        <w:tc>
          <w:tcPr>
            <w:tcW w:w="561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Professional network is consulted, where required, on technically accurate interpretation and application of complianc</w:t>
            </w:r>
            <w:r w:rsidRPr="007A7A65">
              <w:t>e requirements in relation to alternative solutions.</w:t>
            </w:r>
          </w:p>
        </w:tc>
      </w:tr>
      <w:tr w:rsidTr="007A7A6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2.5.</w:t>
            </w:r>
          </w:p>
        </w:tc>
        <w:tc>
          <w:tcPr>
            <w:tcW w:w="561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Compliance requirements for specific projects and locations are explained to clients, and questions are invited and addressed.</w:t>
            </w:r>
          </w:p>
        </w:tc>
      </w:tr>
      <w:tr w:rsidTr="007A7A6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7A7A65">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3.</w:t>
            </w:r>
          </w:p>
        </w:tc>
        <w:tc>
          <w:tcPr>
            <w:tcW w:w="2100" w:type="dxa"/>
            <w:vMerge w:val="restart"/>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Advise on architectural drawings and documentation prepared for planning approval.</w:t>
            </w:r>
          </w:p>
        </w:tc>
        <w:tc>
          <w:tcPr>
            <w:tcW w:w="77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3.1.</w:t>
            </w:r>
          </w:p>
        </w:tc>
        <w:tc>
          <w:tcPr>
            <w:tcW w:w="561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Clients are advised of drawings and documentation required for the planning approval process for each project.</w:t>
            </w:r>
          </w:p>
        </w:tc>
      </w:tr>
      <w:tr w:rsidTr="007A7A6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3.2.</w:t>
            </w:r>
          </w:p>
        </w:tc>
        <w:tc>
          <w:tcPr>
            <w:tcW w:w="561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Architectural drawings and documentation prepared for planning approval applications are checked for completeness and examined at the agreed service level, and compliance issues are identified and recorded.</w:t>
            </w:r>
          </w:p>
        </w:tc>
      </w:tr>
      <w:tr w:rsidTr="007A7A6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3.3.</w:t>
            </w:r>
          </w:p>
        </w:tc>
        <w:tc>
          <w:tcPr>
            <w:tcW w:w="561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Advice on specialist areas of expertise i</w:t>
            </w:r>
            <w:r w:rsidRPr="007A7A65">
              <w:t>s sought, where required, and compliance issues are identified and recorded.</w:t>
            </w:r>
          </w:p>
        </w:tc>
      </w:tr>
      <w:tr w:rsidTr="007A7A6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3.4.</w:t>
            </w:r>
          </w:p>
        </w:tc>
        <w:tc>
          <w:tcPr>
            <w:tcW w:w="561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Cost-effective and efficient design alternatives that meet compliance requirements are identified as required and explained to clients.</w:t>
            </w:r>
          </w:p>
        </w:tc>
      </w:tr>
      <w:tr w:rsidTr="007A7A6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A7A65" w:rsidP="007A7A65">
            <w:pPr>
              <w:pStyle w:val="BodyText"/>
            </w:pPr>
            <w:r w:rsidRPr="007A7A65">
              <w:t>3.5.</w:t>
            </w:r>
          </w:p>
        </w:tc>
        <w:tc>
          <w:tcPr>
            <w:tcW w:w="561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rPr>
                <w:rStyle w:val="BoldandItalics"/>
              </w:rPr>
              <w:t>Solutions to compliance issues</w:t>
            </w:r>
            <w:r w:rsidRPr="007A7A65">
              <w:t xml:space="preserve"> are developed in consultation with colleagues and specialist experts as required, and are documented.</w:t>
            </w:r>
          </w:p>
        </w:tc>
      </w:tr>
      <w:tr w:rsidTr="007A7A6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3.6.</w:t>
            </w:r>
          </w:p>
        </w:tc>
        <w:tc>
          <w:tcPr>
            <w:tcW w:w="561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Compliance advisory report is prepared, presented and explained to clients, and questions are invited and addressed</w:t>
            </w:r>
            <w:r w:rsidRPr="007A7A65">
              <w:t xml:space="preserve">. </w:t>
            </w:r>
          </w:p>
        </w:tc>
      </w:tr>
      <w:tr w:rsidTr="007A7A6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7A7A65">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4.</w:t>
            </w:r>
          </w:p>
        </w:tc>
        <w:tc>
          <w:tcPr>
            <w:tcW w:w="2100" w:type="dxa"/>
            <w:vMerge w:val="restart"/>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Advise on architectural drawings and documentation prepared for building approval.</w:t>
            </w:r>
          </w:p>
        </w:tc>
        <w:tc>
          <w:tcPr>
            <w:tcW w:w="77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4.1.</w:t>
            </w:r>
          </w:p>
        </w:tc>
        <w:tc>
          <w:tcPr>
            <w:tcW w:w="561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Clients are advised of drawings and documentation required for the building approval process for each project.</w:t>
            </w:r>
          </w:p>
        </w:tc>
      </w:tr>
      <w:tr w:rsidTr="007A7A6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4.2.</w:t>
            </w:r>
          </w:p>
        </w:tc>
        <w:tc>
          <w:tcPr>
            <w:tcW w:w="561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Architectural drawings and documentation prepared for building approval applications are checked for completeness and examined at the agreed service level, and compliance issues are identified and recorded.</w:t>
            </w:r>
          </w:p>
        </w:tc>
      </w:tr>
      <w:tr w:rsidTr="007A7A6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4.3.</w:t>
            </w:r>
          </w:p>
        </w:tc>
        <w:tc>
          <w:tcPr>
            <w:tcW w:w="561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Advice on specialist areas of expertise i</w:t>
            </w:r>
            <w:r w:rsidRPr="007A7A65">
              <w:t>s sought, where required, and compliance issues are identified and recorded.</w:t>
            </w:r>
          </w:p>
        </w:tc>
      </w:tr>
      <w:tr w:rsidTr="007A7A6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4.4.</w:t>
            </w:r>
          </w:p>
        </w:tc>
        <w:tc>
          <w:tcPr>
            <w:tcW w:w="561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Cost-effective and efficient design alternatives that meet compliance requirements are identified as required and explained to clients.</w:t>
            </w:r>
          </w:p>
        </w:tc>
      </w:tr>
      <w:tr w:rsidTr="007A7A6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4.5.</w:t>
            </w:r>
          </w:p>
        </w:tc>
        <w:tc>
          <w:tcPr>
            <w:tcW w:w="561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Solutions to compliance issues are developed in consultation with colleagues and specialist experts as required, and are documented.</w:t>
            </w:r>
          </w:p>
        </w:tc>
      </w:tr>
      <w:tr w:rsidTr="007A7A6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4.6.</w:t>
            </w:r>
          </w:p>
        </w:tc>
        <w:tc>
          <w:tcPr>
            <w:tcW w:w="561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Compliance advisory report is prepared, presented and explained to clients, and questions are invited and addressed</w:t>
            </w:r>
            <w:r w:rsidRPr="007A7A65">
              <w:t xml:space="preserve">. </w:t>
            </w:r>
          </w:p>
        </w:tc>
      </w:tr>
      <w:tr w:rsidTr="007A7A6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7A7A65">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5.</w:t>
            </w:r>
          </w:p>
        </w:tc>
        <w:tc>
          <w:tcPr>
            <w:tcW w:w="2100" w:type="dxa"/>
            <w:vMerge w:val="restart"/>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Respond to client enquiries regarding compliance issues.</w:t>
            </w:r>
          </w:p>
        </w:tc>
        <w:tc>
          <w:tcPr>
            <w:tcW w:w="77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5.1.</w:t>
            </w:r>
          </w:p>
        </w:tc>
        <w:tc>
          <w:tcPr>
            <w:tcW w:w="561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 xml:space="preserve">Client requests for information regarding compliance issues are assessed as either within or outside scope of service, and when outside scope </w:t>
            </w:r>
            <w:r w:rsidRPr="007A7A65">
              <w:t>additional fees are negotiated and agreed as required.</w:t>
            </w:r>
          </w:p>
        </w:tc>
      </w:tr>
      <w:tr w:rsidTr="007A7A6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5.2.</w:t>
            </w:r>
          </w:p>
        </w:tc>
        <w:tc>
          <w:tcPr>
            <w:tcW w:w="561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Details of requests for information are determined and response is researched, in consultation with specialist experts as required.</w:t>
            </w:r>
          </w:p>
        </w:tc>
      </w:tr>
      <w:tr w:rsidTr="007A7A6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5.3.</w:t>
            </w:r>
          </w:p>
        </w:tc>
        <w:tc>
          <w:tcPr>
            <w:tcW w:w="5610" w:type="dxa"/>
            <w:tcBorders>
              <w:top w:val="nil"/>
              <w:left w:val="nil"/>
              <w:bottom w:val="nil"/>
              <w:right w:val="nil"/>
            </w:tcBorders>
            <w:tcMar>
              <w:top w:w="0" w:type="dxa"/>
              <w:left w:w="62" w:type="dxa"/>
              <w:bottom w:w="0" w:type="dxa"/>
              <w:right w:w="62" w:type="dxa"/>
            </w:tcMar>
          </w:tcPr>
          <w:p w:rsidR="00000000" w:rsidRPr="007A7A65" w:rsidP="007A7A65">
            <w:pPr>
              <w:pStyle w:val="BodyText"/>
            </w:pPr>
            <w:r w:rsidRPr="007A7A65">
              <w:t>Advice on compliance issues is presented to clients in required format, and questions are invited and addressed.</w:t>
            </w:r>
          </w:p>
        </w:tc>
      </w:tr>
    </w:tbl>
    <w:p w:rsidR="00000000" w:rsidRPr="007A7A65" w:rsidP="007A7A65">
      <w:pPr>
        <w:pStyle w:val="BodyText"/>
      </w:pPr>
    </w:p>
    <w:p w:rsidR="00000000" w:rsidRPr="007A7A65" w:rsidP="007A7A65">
      <w:pPr>
        <w:pStyle w:val="AllowPageBreak"/>
      </w:pPr>
    </w:p>
    <w:p w:rsidR="00000000" w:rsidRPr="007A7A65" w:rsidP="007A7A65">
      <w:pPr>
        <w:pStyle w:val="Heading1"/>
      </w:pPr>
      <w:bookmarkStart w:id="7" w:name="O_867721"/>
      <w:bookmarkEnd w:id="7"/>
      <w:r w:rsidRPr="007A7A65">
        <w:t>Foundation Skills</w:t>
      </w:r>
    </w:p>
    <w:tbl>
      <w:tblPr>
        <w:tblW w:w="0" w:type="auto"/>
        <w:tblLayout w:type="fixed"/>
        <w:tblCellMar>
          <w:left w:w="62" w:type="dxa"/>
          <w:right w:w="62" w:type="dxa"/>
        </w:tblCellMar>
        <w:tblLook w:val="0000"/>
      </w:tblPr>
      <w:tblGrid>
        <w:gridCol w:w="2256"/>
        <w:gridCol w:w="6878"/>
      </w:tblGrid>
      <w:tr w:rsidTr="007A7A65">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 xml:space="preserve">This section describes the language, literacy, numeracy and employment skills essential to performance in </w:t>
            </w:r>
            <w:r w:rsidRPr="007A7A65">
              <w:t>this unit but not explicit in the performance criteria.</w:t>
            </w:r>
          </w:p>
        </w:tc>
      </w:tr>
      <w:tr w:rsidTr="007A7A65">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7A7A65" w:rsidP="007A7A65">
            <w:pPr>
              <w:pStyle w:val="BodyText"/>
            </w:pPr>
            <w:r w:rsidRPr="007A7A65">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rPr>
                <w:rStyle w:val="SpecialBold"/>
              </w:rPr>
              <w:t>Performance feature</w:t>
            </w:r>
          </w:p>
        </w:tc>
      </w:tr>
      <w:tr w:rsidTr="007A7A6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Learning skills to:</w:t>
            </w:r>
          </w:p>
        </w:tc>
        <w:tc>
          <w:tcPr>
            <w:tcW w:w="6878" w:type="dxa"/>
            <w:tcBorders>
              <w:top w:val="nil"/>
              <w:left w:val="nil"/>
              <w:bottom w:val="nil"/>
              <w:right w:val="nil"/>
            </w:tcBorders>
            <w:tcMar>
              <w:top w:w="0" w:type="dxa"/>
              <w:left w:w="62" w:type="dxa"/>
              <w:bottom w:w="0" w:type="dxa"/>
              <w:right w:w="62" w:type="dxa"/>
            </w:tcMar>
          </w:tcPr>
          <w:p w:rsidR="00000000" w:rsidRPr="007A7A65" w:rsidP="007A7A65">
            <w:pPr>
              <w:pStyle w:val="ListBullet"/>
            </w:pPr>
            <w:r w:rsidRPr="007A7A65">
              <w:t xml:space="preserve">independently access and interpret a range of complex technical information relating </w:t>
            </w:r>
            <w:r w:rsidRPr="007A7A65">
              <w:t>to compliance requirements for buildings included in classes 2 to 9, including specific requirements for particular geographic and climatic areas and different planning schemes and codes</w:t>
            </w:r>
          </w:p>
          <w:p w:rsidR="00000000" w:rsidRPr="007A7A65" w:rsidP="007A7A65">
            <w:pPr>
              <w:pStyle w:val="ListBullet"/>
            </w:pPr>
            <w:r w:rsidRPr="007A7A65">
              <w:t>use structured approaches to maintain currency of skills and knowledg</w:t>
            </w:r>
            <w:r w:rsidRPr="007A7A65">
              <w:t xml:space="preserve">e as a regular part of routine through, for example, email alerts, conferences, or subscriptions to relevant journals. </w:t>
            </w:r>
          </w:p>
          <w:p w:rsidR="00000000" w:rsidP="007A7A65">
            <w:pPr>
              <w:pStyle w:val="BodyText"/>
              <w:rPr>
                <w:lang w:val="en-NZ"/>
              </w:rPr>
            </w:pPr>
          </w:p>
        </w:tc>
      </w:tr>
      <w:tr w:rsidTr="007A7A6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Numeracy skills to:</w:t>
            </w:r>
          </w:p>
        </w:tc>
        <w:tc>
          <w:tcPr>
            <w:tcW w:w="6878" w:type="dxa"/>
            <w:tcBorders>
              <w:top w:val="nil"/>
              <w:left w:val="nil"/>
              <w:bottom w:val="nil"/>
              <w:right w:val="nil"/>
            </w:tcBorders>
            <w:tcMar>
              <w:top w:w="0" w:type="dxa"/>
              <w:left w:w="62" w:type="dxa"/>
              <w:bottom w:w="0" w:type="dxa"/>
              <w:right w:w="62" w:type="dxa"/>
            </w:tcMar>
          </w:tcPr>
          <w:p w:rsidR="00000000" w:rsidRPr="007A7A65" w:rsidP="007A7A65">
            <w:pPr>
              <w:pStyle w:val="ListBullet"/>
            </w:pPr>
            <w:r w:rsidRPr="007A7A65">
              <w:t>extract and interpret a range of mathematical information contained in technical documentation relating to the de</w:t>
            </w:r>
            <w:r w:rsidRPr="007A7A65">
              <w:t>sign of buildings included in classes 2 to 9, including:</w:t>
            </w:r>
          </w:p>
          <w:p w:rsidR="00000000" w:rsidRPr="007A7A65" w:rsidP="007A7A65">
            <w:pPr>
              <w:pStyle w:val="ListBullet2"/>
            </w:pPr>
            <w:r w:rsidRPr="007A7A65">
              <w:t>ratios, rates and proportions</w:t>
            </w:r>
          </w:p>
          <w:p w:rsidR="00000000" w:rsidRPr="007A7A65" w:rsidP="007A7A65">
            <w:pPr>
              <w:pStyle w:val="ListBullet2"/>
            </w:pPr>
            <w:r w:rsidRPr="007A7A65">
              <w:t>detailed plans</w:t>
            </w:r>
          </w:p>
          <w:p w:rsidR="00000000" w:rsidRPr="007A7A65" w:rsidP="007A7A65">
            <w:pPr>
              <w:pStyle w:val="ListBullet"/>
            </w:pPr>
            <w:r w:rsidRPr="007A7A65">
              <w:t xml:space="preserve">perform complex calculations and computations in the process of determining compliance as it relates to structural integrity and wind bracing. </w:t>
            </w:r>
          </w:p>
          <w:p w:rsidR="00000000" w:rsidP="007A7A65">
            <w:pPr>
              <w:pStyle w:val="BodyText"/>
              <w:rPr>
                <w:lang w:val="en-NZ"/>
              </w:rPr>
            </w:pPr>
          </w:p>
        </w:tc>
      </w:tr>
      <w:tr w:rsidTr="007A7A6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7A7A65" w:rsidP="007A7A65">
            <w:pPr>
              <w:pStyle w:val="ListBullet"/>
            </w:pPr>
            <w:r w:rsidRPr="007A7A65">
              <w:t>determine client requirements regarding nature and scope of advice sought, through open-ended questioning, active listening, paraphrasing and summarising</w:t>
            </w:r>
          </w:p>
          <w:p w:rsidR="00000000" w:rsidRPr="007A7A65" w:rsidP="007A7A65">
            <w:pPr>
              <w:pStyle w:val="ListBullet"/>
            </w:pPr>
            <w:r w:rsidRPr="007A7A65">
              <w:t>understand and use specialised construction industry vocabulary in a va</w:t>
            </w:r>
            <w:r w:rsidRPr="007A7A65">
              <w:t xml:space="preserve">riety of situations, for example explanations, descriptions and discussions with architects, building designers and specialist personnel. </w:t>
            </w:r>
          </w:p>
          <w:p w:rsidR="00000000" w:rsidP="007A7A65">
            <w:pPr>
              <w:pStyle w:val="BodyText"/>
              <w:rPr>
                <w:lang w:val="en-NZ"/>
              </w:rPr>
            </w:pPr>
          </w:p>
        </w:tc>
      </w:tr>
      <w:tr w:rsidTr="007A7A6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Reading skills to:</w:t>
            </w:r>
          </w:p>
        </w:tc>
        <w:tc>
          <w:tcPr>
            <w:tcW w:w="6878" w:type="dxa"/>
            <w:tcBorders>
              <w:top w:val="nil"/>
              <w:left w:val="nil"/>
              <w:bottom w:val="nil"/>
              <w:right w:val="nil"/>
            </w:tcBorders>
            <w:tcMar>
              <w:top w:w="0" w:type="dxa"/>
              <w:left w:w="62" w:type="dxa"/>
              <w:bottom w:w="0" w:type="dxa"/>
              <w:right w:w="62" w:type="dxa"/>
            </w:tcMar>
          </w:tcPr>
          <w:p w:rsidR="00000000" w:rsidRPr="007A7A65" w:rsidP="007A7A65">
            <w:pPr>
              <w:pStyle w:val="ListBullet"/>
            </w:pPr>
            <w:r w:rsidRPr="007A7A65">
              <w:t xml:space="preserve">use different reading strategies to locate specific compliance requirements in a </w:t>
            </w:r>
            <w:r w:rsidRPr="007A7A65">
              <w:t>range of resources, including the NCC</w:t>
            </w:r>
          </w:p>
          <w:p w:rsidR="00000000" w:rsidRPr="007A7A65" w:rsidP="007A7A65">
            <w:pPr>
              <w:pStyle w:val="ListBullet"/>
            </w:pPr>
            <w:r w:rsidRPr="007A7A65">
              <w:t>understand technical texts with complex structures, specialised vocabulary, acronyms and diagrams specific to plans and compliance requirements for buildings included in classes 2 to 9.</w:t>
            </w:r>
          </w:p>
          <w:p w:rsidR="00000000" w:rsidP="007A7A65">
            <w:pPr>
              <w:pStyle w:val="BodyText"/>
              <w:rPr>
                <w:lang w:val="en-NZ"/>
              </w:rPr>
            </w:pPr>
          </w:p>
        </w:tc>
      </w:tr>
      <w:tr w:rsidTr="007A7A6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Writing skills to:</w:t>
            </w:r>
          </w:p>
        </w:tc>
        <w:tc>
          <w:tcPr>
            <w:tcW w:w="6878" w:type="dxa"/>
            <w:tcBorders>
              <w:top w:val="nil"/>
              <w:left w:val="nil"/>
              <w:bottom w:val="nil"/>
              <w:right w:val="nil"/>
            </w:tcBorders>
            <w:tcMar>
              <w:top w:w="0" w:type="dxa"/>
              <w:left w:w="62" w:type="dxa"/>
              <w:bottom w:w="0" w:type="dxa"/>
              <w:right w:w="62" w:type="dxa"/>
            </w:tcMar>
          </w:tcPr>
          <w:p w:rsidR="00000000" w:rsidRPr="007A7A65" w:rsidP="007A7A65">
            <w:pPr>
              <w:pStyle w:val="ListBullet"/>
            </w:pPr>
            <w:r w:rsidRPr="007A7A65">
              <w:t>use accura</w:t>
            </w:r>
            <w:r w:rsidRPr="007A7A65">
              <w:t>tely-spelled specialised construction industry vocabulary in emails, letters and reports to clients and specialist personnel.</w:t>
            </w:r>
          </w:p>
        </w:tc>
      </w:tr>
    </w:tbl>
    <w:p w:rsidR="00000000" w:rsidRPr="007A7A65" w:rsidP="007A7A65">
      <w:pPr>
        <w:pStyle w:val="BodyText"/>
      </w:pPr>
    </w:p>
    <w:p w:rsidR="00000000" w:rsidRPr="007A7A65" w:rsidP="007A7A65">
      <w:pPr>
        <w:pStyle w:val="AllowPageBreak"/>
      </w:pPr>
    </w:p>
    <w:p w:rsidR="00000000" w:rsidRPr="007A7A65" w:rsidP="007A7A65">
      <w:pPr>
        <w:pStyle w:val="Heading1"/>
      </w:pPr>
      <w:bookmarkStart w:id="8" w:name="O_867720"/>
      <w:bookmarkEnd w:id="8"/>
      <w:r w:rsidRPr="007A7A65">
        <w:t>Range of Conditions</w:t>
      </w:r>
    </w:p>
    <w:tbl>
      <w:tblPr>
        <w:tblW w:w="0" w:type="auto"/>
        <w:tblLayout w:type="fixed"/>
        <w:tblCellMar>
          <w:left w:w="62" w:type="dxa"/>
          <w:right w:w="62" w:type="dxa"/>
        </w:tblCellMar>
        <w:tblLook w:val="0000"/>
      </w:tblPr>
      <w:tblGrid>
        <w:gridCol w:w="2260"/>
        <w:gridCol w:w="6874"/>
      </w:tblGrid>
      <w:tr w:rsidTr="007A7A65">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t>This section specifies work environments and conditions that may affect performance. Essent</w:t>
            </w:r>
            <w:r w:rsidRPr="007A7A65">
              <w:t>ial operating conditions that may be present (depending on the work situation, needs of the candidate, accessibility of the item, and local industry and regional contexts) are included. Bold italicised wording, if used in the performance criteria, is detai</w:t>
            </w:r>
            <w:r w:rsidRPr="007A7A65">
              <w:t>led below.</w:t>
            </w:r>
          </w:p>
        </w:tc>
      </w:tr>
      <w:tr w:rsidTr="007A7A65">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rPr>
                <w:rStyle w:val="BoldandItalics"/>
              </w:rPr>
              <w:t xml:space="preserve">Specialist areas of expertise </w:t>
            </w:r>
            <w:r w:rsidRPr="007A7A65">
              <w:t>must include at least three of the following:</w:t>
            </w:r>
          </w:p>
        </w:tc>
        <w:tc>
          <w:tcPr>
            <w:tcW w:w="6874" w:type="dxa"/>
            <w:tcBorders>
              <w:top w:val="nil"/>
              <w:left w:val="nil"/>
              <w:bottom w:val="nil"/>
              <w:right w:val="nil"/>
            </w:tcBorders>
            <w:tcMar>
              <w:top w:w="0" w:type="dxa"/>
              <w:left w:w="62" w:type="dxa"/>
              <w:bottom w:w="0" w:type="dxa"/>
              <w:right w:w="62" w:type="dxa"/>
            </w:tcMar>
          </w:tcPr>
          <w:p w:rsidR="00000000" w:rsidRPr="007A7A65" w:rsidP="007A7A65">
            <w:pPr>
              <w:pStyle w:val="ListBullet"/>
            </w:pPr>
            <w:r w:rsidRPr="007A7A65">
              <w:t>access consultants</w:t>
            </w:r>
          </w:p>
          <w:p w:rsidR="00000000" w:rsidRPr="007A7A65" w:rsidP="007A7A65">
            <w:pPr>
              <w:pStyle w:val="ListBullet"/>
            </w:pPr>
            <w:r w:rsidRPr="007A7A65">
              <w:t>energy efficiency assessors</w:t>
            </w:r>
          </w:p>
          <w:p w:rsidR="00000000" w:rsidRPr="007A7A65" w:rsidP="007A7A65">
            <w:pPr>
              <w:pStyle w:val="ListBullet"/>
            </w:pPr>
            <w:r w:rsidRPr="007A7A65">
              <w:t>fire services engineers</w:t>
            </w:r>
          </w:p>
          <w:p w:rsidR="00000000" w:rsidRPr="007A7A65" w:rsidP="007A7A65">
            <w:pPr>
              <w:pStyle w:val="ListBullet"/>
            </w:pPr>
            <w:r w:rsidRPr="007A7A65">
              <w:t>geotechnical engineers</w:t>
            </w:r>
          </w:p>
          <w:p w:rsidR="00000000" w:rsidRPr="007A7A65" w:rsidP="007A7A65">
            <w:pPr>
              <w:pStyle w:val="ListBullet"/>
            </w:pPr>
            <w:r w:rsidRPr="007A7A65">
              <w:t>heritage consultants</w:t>
            </w:r>
          </w:p>
          <w:p w:rsidR="00000000" w:rsidRPr="007A7A65" w:rsidP="007A7A65">
            <w:pPr>
              <w:pStyle w:val="ListBullet"/>
            </w:pPr>
            <w:r w:rsidRPr="007A7A65">
              <w:t>hydraulic engineers</w:t>
            </w:r>
          </w:p>
          <w:p w:rsidR="00000000" w:rsidRPr="007A7A65" w:rsidP="007A7A65">
            <w:pPr>
              <w:pStyle w:val="ListBullet"/>
            </w:pPr>
            <w:r w:rsidRPr="007A7A65">
              <w:t>mechanical engineers</w:t>
            </w:r>
          </w:p>
          <w:p w:rsidR="00000000" w:rsidRPr="007A7A65" w:rsidP="007A7A65">
            <w:pPr>
              <w:pStyle w:val="ListBullet"/>
            </w:pPr>
            <w:r w:rsidRPr="007A7A65">
              <w:t>structural engineers</w:t>
            </w:r>
          </w:p>
          <w:p w:rsidR="00000000" w:rsidRPr="007A7A65" w:rsidP="007A7A65">
            <w:pPr>
              <w:pStyle w:val="ListBullet"/>
            </w:pPr>
            <w:r w:rsidRPr="007A7A65">
              <w:t>waterproofing specialists.</w:t>
            </w:r>
          </w:p>
          <w:p w:rsidR="00000000" w:rsidP="007A7A65">
            <w:pPr>
              <w:pStyle w:val="BodyText"/>
              <w:rPr>
                <w:lang w:val="en-NZ"/>
              </w:rPr>
            </w:pPr>
          </w:p>
        </w:tc>
      </w:tr>
      <w:tr w:rsidTr="007A7A65">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7A7A65">
            <w:pPr>
              <w:pStyle w:val="BodyText"/>
              <w:rPr>
                <w:lang w:val="en-NZ"/>
              </w:rPr>
            </w:pPr>
            <w:r w:rsidRPr="007A7A65">
              <w:rPr>
                <w:rStyle w:val="BoldandItalics"/>
              </w:rPr>
              <w:t>Solutions to compliance issues</w:t>
            </w:r>
            <w:r w:rsidRPr="007A7A65">
              <w:t xml:space="preserve"> must include:</w:t>
            </w:r>
          </w:p>
        </w:tc>
        <w:tc>
          <w:tcPr>
            <w:tcW w:w="6874" w:type="dxa"/>
            <w:tcBorders>
              <w:top w:val="nil"/>
              <w:left w:val="nil"/>
              <w:bottom w:val="nil"/>
              <w:right w:val="nil"/>
            </w:tcBorders>
            <w:tcMar>
              <w:top w:w="0" w:type="dxa"/>
              <w:left w:w="62" w:type="dxa"/>
              <w:bottom w:w="0" w:type="dxa"/>
              <w:right w:w="62" w:type="dxa"/>
            </w:tcMar>
          </w:tcPr>
          <w:p w:rsidR="00000000" w:rsidRPr="007A7A65" w:rsidP="007A7A65">
            <w:pPr>
              <w:pStyle w:val="ListBullet"/>
            </w:pPr>
            <w:r w:rsidRPr="007A7A65">
              <w:t>alternative solutions that meet the performance requirements of the NCC</w:t>
            </w:r>
          </w:p>
          <w:p w:rsidR="00000000" w:rsidRPr="007A7A65" w:rsidP="007A7A65">
            <w:pPr>
              <w:pStyle w:val="ListBullet"/>
            </w:pPr>
            <w:r w:rsidRPr="007A7A65">
              <w:t>deemed-to-satisfy NCC solutions</w:t>
            </w:r>
          </w:p>
          <w:p w:rsidR="00000000" w:rsidRPr="007A7A65" w:rsidP="007A7A65">
            <w:pPr>
              <w:pStyle w:val="ListBullet"/>
            </w:pPr>
            <w:r w:rsidRPr="007A7A65">
              <w:t>solutions that meet the requirements of:</w:t>
            </w:r>
          </w:p>
          <w:p w:rsidR="00000000" w:rsidRPr="007A7A65" w:rsidP="007A7A65">
            <w:pPr>
              <w:pStyle w:val="ListBullet2"/>
            </w:pPr>
            <w:r w:rsidRPr="007A7A65">
              <w:t>insurers</w:t>
            </w:r>
          </w:p>
          <w:p w:rsidR="00000000" w:rsidRPr="007A7A65" w:rsidP="007A7A65">
            <w:pPr>
              <w:pStyle w:val="ListBullet2"/>
            </w:pPr>
            <w:r w:rsidRPr="007A7A65">
              <w:t>state or territory and local government legislation and regulations</w:t>
            </w:r>
          </w:p>
          <w:p w:rsidR="00000000" w:rsidRPr="007A7A65" w:rsidP="007A7A65">
            <w:pPr>
              <w:pStyle w:val="ListBullet2"/>
            </w:pPr>
            <w:r w:rsidRPr="007A7A65">
              <w:t>statutory authorities governing:</w:t>
            </w:r>
          </w:p>
          <w:p w:rsidR="00000000" w:rsidRPr="007A7A65" w:rsidP="007A7A65">
            <w:pPr>
              <w:pStyle w:val="ListBullet3"/>
            </w:pPr>
            <w:r w:rsidRPr="007A7A65">
              <w:t>environment</w:t>
            </w:r>
          </w:p>
          <w:p w:rsidR="00000000" w:rsidRPr="007A7A65" w:rsidP="007A7A65">
            <w:pPr>
              <w:pStyle w:val="ListBullet3"/>
            </w:pPr>
            <w:r w:rsidRPr="007A7A65">
              <w:t>fire protection</w:t>
            </w:r>
          </w:p>
          <w:p w:rsidR="00000000" w:rsidRPr="007A7A65" w:rsidP="007A7A65">
            <w:pPr>
              <w:pStyle w:val="ListBullet3"/>
            </w:pPr>
            <w:r w:rsidRPr="007A7A65">
              <w:t>services.</w:t>
            </w:r>
          </w:p>
        </w:tc>
      </w:tr>
    </w:tbl>
    <w:p w:rsidR="00000000" w:rsidRPr="007A7A65" w:rsidP="007A7A65">
      <w:pPr>
        <w:pStyle w:val="BodyText"/>
      </w:pPr>
    </w:p>
    <w:p w:rsidR="00000000" w:rsidRPr="007A7A65" w:rsidP="007A7A65">
      <w:pPr>
        <w:pStyle w:val="AllowPageBreak"/>
      </w:pPr>
    </w:p>
    <w:p w:rsidR="00000000" w:rsidRPr="007A7A65" w:rsidP="007A7A65">
      <w:pPr>
        <w:pStyle w:val="Heading1"/>
      </w:pPr>
      <w:bookmarkStart w:id="9" w:name="O_867719"/>
      <w:bookmarkEnd w:id="9"/>
      <w:r w:rsidRPr="007A7A65">
        <w:t>Unit Mapping Information</w:t>
      </w:r>
    </w:p>
    <w:p w:rsidR="00000000" w:rsidRPr="007A7A65" w:rsidP="00AF482E">
      <w:pPr>
        <w:pStyle w:val="BodyText"/>
      </w:pPr>
      <w:r w:rsidRPr="007A7A65">
        <w:t>No equivalent unit.</w:t>
      </w:r>
    </w:p>
    <w:p w:rsidR="00000000" w:rsidRPr="007A7A65" w:rsidP="007A7A65">
      <w:pPr>
        <w:pStyle w:val="Heading1"/>
      </w:pPr>
      <w:bookmarkStart w:id="10" w:name="O_867728"/>
      <w:bookmarkEnd w:id="10"/>
      <w:r w:rsidRPr="007A7A65">
        <w:t>Links</w:t>
      </w:r>
    </w:p>
    <w:p w:rsidR="00000000" w:rsidRPr="007A7A65" w:rsidP="00AF482E">
      <w:pPr>
        <w:pStyle w:val="BodyText"/>
      </w:pPr>
      <w:r w:rsidRPr="007A7A65">
        <w:t>Companion Volume impleme</w:t>
      </w:r>
      <w:r w:rsidRPr="007A7A65">
        <w:t xml:space="preserve">ntation guides are found in VETNet - </w:t>
      </w:r>
      <w:r>
        <w:fldChar w:fldCharType="begin"/>
      </w:r>
      <w:r>
        <w:instrText xml:space="preserve"> HYPERLINK "https://vetnet.gov.au/Pages/TrainingDocs.aspx?q=7e15fa6a-68b8-4097-b099-030a5569b1ad" </w:instrText>
      </w:r>
      <w:r>
        <w:fldChar w:fldCharType="separate"/>
      </w:r>
      <w:r w:rsidRPr="007C4F9A">
        <w:rPr>
          <w:rStyle w:val="Hyperlink"/>
        </w:rPr>
        <w:t>https://vetnet.gov.au/Pages/TrainingDocs.aspx?q=7e15fa6a-68b8-4097-b099-030a5569b1ad</w:t>
      </w:r>
      <w:r>
        <w:fldChar w:fldCharType="end"/>
      </w:r>
    </w:p>
    <w:p w:rsidR="00000000" w:rsidRPr="007A7A65" w:rsidP="007A7A65"/>
    <w:sectPr w:rsidSect="007A7A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A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A65" w:rsidRPr="00AF482E" w:rsidP="00AF48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A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82E" w:rsidP="007A7A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F482E" w:rsidP="007A7A6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AF482E" w:rsidP="007A7A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A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8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7A65" w:rsidRPr="00AF482E" w:rsidP="00AF48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A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82E" w:rsidRPr="002D2AF8" w:rsidP="007A7A65">
    <w:pPr>
      <w:pStyle w:val="Header"/>
      <w:framePr w:wrap="around"/>
    </w:pPr>
    <w:r>
      <w:fldChar w:fldCharType="begin"/>
    </w:r>
    <w:r>
      <w:instrText xml:space="preserve"> TITLE   \* MERGEFORMAT </w:instrText>
    </w:r>
    <w:r>
      <w:fldChar w:fldCharType="separate"/>
    </w:r>
    <w:r>
      <w:t>CPCCBS6005 Assess and advise on compliance of design documentation for commercial buildings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2020</w:t>
    </w:r>
    <w:r>
      <w:fldChar w:fldCharType="end"/>
    </w:r>
  </w:p>
  <w:p w:rsidR="00AF482E" w:rsidP="007A7A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F623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74D1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98ED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A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7A65"/>
    <w:pPr>
      <w:spacing w:before="360" w:after="60"/>
      <w:outlineLvl w:val="0"/>
    </w:pPr>
    <w:rPr>
      <w:sz w:val="32"/>
    </w:rPr>
  </w:style>
  <w:style w:type="paragraph" w:styleId="Heading2">
    <w:name w:val="heading 2"/>
    <w:basedOn w:val="HeadingBase"/>
    <w:next w:val="BodyText"/>
    <w:link w:val="Heading2Char"/>
    <w:qFormat/>
    <w:rsid w:val="007A7A65"/>
    <w:pPr>
      <w:keepLines/>
      <w:spacing w:before="240" w:after="120"/>
      <w:outlineLvl w:val="1"/>
    </w:pPr>
    <w:rPr>
      <w:sz w:val="28"/>
      <w:szCs w:val="40"/>
    </w:rPr>
  </w:style>
  <w:style w:type="paragraph" w:styleId="Heading3">
    <w:name w:val="heading 3"/>
    <w:basedOn w:val="HeadingBase"/>
    <w:next w:val="BodyText"/>
    <w:link w:val="Heading3Char"/>
    <w:qFormat/>
    <w:rsid w:val="007A7A65"/>
    <w:pPr>
      <w:spacing w:before="180" w:after="120"/>
      <w:outlineLvl w:val="2"/>
    </w:pPr>
    <w:rPr>
      <w:spacing w:val="-10"/>
      <w:kern w:val="32"/>
    </w:rPr>
  </w:style>
  <w:style w:type="paragraph" w:styleId="Heading4">
    <w:name w:val="heading 4"/>
    <w:basedOn w:val="HeadingBase"/>
    <w:next w:val="BodyText"/>
    <w:link w:val="Heading4Char"/>
    <w:qFormat/>
    <w:rsid w:val="007A7A65"/>
    <w:pPr>
      <w:spacing w:before="160" w:after="120"/>
      <w:outlineLvl w:val="3"/>
    </w:pPr>
    <w:rPr>
      <w:sz w:val="22"/>
    </w:rPr>
  </w:style>
  <w:style w:type="paragraph" w:styleId="Heading5">
    <w:name w:val="heading 5"/>
    <w:basedOn w:val="HeadingBase"/>
    <w:next w:val="Normal"/>
    <w:link w:val="Heading5Char"/>
    <w:qFormat/>
    <w:rsid w:val="007A7A65"/>
    <w:pPr>
      <w:spacing w:before="80"/>
      <w:outlineLvl w:val="4"/>
    </w:pPr>
    <w:rPr>
      <w:color w:val="918585"/>
      <w:sz w:val="20"/>
    </w:rPr>
  </w:style>
  <w:style w:type="paragraph" w:styleId="Heading6">
    <w:name w:val="heading 6"/>
    <w:basedOn w:val="HeadingBase"/>
    <w:next w:val="Normal"/>
    <w:link w:val="Heading6Char"/>
    <w:qFormat/>
    <w:rsid w:val="007A7A65"/>
    <w:pPr>
      <w:spacing w:before="60"/>
      <w:outlineLvl w:val="5"/>
    </w:pPr>
    <w:rPr>
      <w:color w:val="918585"/>
      <w:sz w:val="20"/>
    </w:rPr>
  </w:style>
  <w:style w:type="paragraph" w:styleId="Heading7">
    <w:name w:val="heading 7"/>
    <w:basedOn w:val="Normal"/>
    <w:next w:val="Normal"/>
    <w:link w:val="Heading7Char"/>
    <w:qFormat/>
    <w:rsid w:val="007A7A65"/>
    <w:pPr>
      <w:ind w:left="720"/>
      <w:outlineLvl w:val="6"/>
    </w:pPr>
    <w:rPr>
      <w:i/>
    </w:rPr>
  </w:style>
  <w:style w:type="paragraph" w:styleId="Heading8">
    <w:name w:val="heading 8"/>
    <w:basedOn w:val="Normal"/>
    <w:next w:val="Normal"/>
    <w:link w:val="Heading8Char"/>
    <w:qFormat/>
    <w:rsid w:val="007A7A65"/>
    <w:pPr>
      <w:ind w:left="720"/>
      <w:outlineLvl w:val="7"/>
    </w:pPr>
    <w:rPr>
      <w:i/>
    </w:rPr>
  </w:style>
  <w:style w:type="paragraph" w:styleId="Heading9">
    <w:name w:val="heading 9"/>
    <w:basedOn w:val="Normal"/>
    <w:next w:val="Normal"/>
    <w:link w:val="Heading9Char"/>
    <w:qFormat/>
    <w:rsid w:val="007A7A65"/>
    <w:pPr>
      <w:ind w:left="720"/>
      <w:outlineLvl w:val="8"/>
    </w:pPr>
    <w:rPr>
      <w:i/>
    </w:rPr>
  </w:style>
  <w:style w:type="character" w:default="1" w:styleId="DefaultParagraphFont">
    <w:name w:val="Default Paragraph Font"/>
    <w:uiPriority w:val="1"/>
    <w:unhideWhenUsed/>
    <w:rsid w:val="007A7A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7A65"/>
  </w:style>
  <w:style w:type="character" w:customStyle="1" w:styleId="Heading1Char">
    <w:name w:val="Heading 1 Char"/>
    <w:basedOn w:val="DefaultParagraphFont"/>
    <w:link w:val="Heading1"/>
    <w:rsid w:val="007A7A65"/>
    <w:rPr>
      <w:rFonts w:ascii="Times New Roman" w:eastAsia="Times New Roman" w:hAnsi="Times New Roman" w:cs="Times New Roman"/>
      <w:b/>
      <w:sz w:val="32"/>
      <w:szCs w:val="20"/>
      <w:lang w:eastAsia="en-US"/>
    </w:rPr>
  </w:style>
  <w:style w:type="paragraph" w:styleId="BodyText">
    <w:name w:val="Body Text"/>
    <w:basedOn w:val="Normal"/>
    <w:link w:val="BodyTextChar"/>
    <w:rsid w:val="007A7A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7A65"/>
    <w:rPr>
      <w:rFonts w:ascii="Times New Roman" w:eastAsia="Times New Roman" w:hAnsi="Times New Roman" w:cs="Times New Roman"/>
      <w:sz w:val="24"/>
      <w:lang w:eastAsia="en-US"/>
    </w:rPr>
  </w:style>
  <w:style w:type="paragraph" w:styleId="ListBullet">
    <w:name w:val="List Bullet"/>
    <w:basedOn w:val="List"/>
    <w:rsid w:val="007A7A65"/>
    <w:pPr>
      <w:numPr>
        <w:numId w:val="13"/>
      </w:numPr>
      <w:tabs>
        <w:tab w:val="clear" w:pos="340"/>
      </w:tabs>
      <w:spacing w:before="40" w:after="40"/>
    </w:pPr>
  </w:style>
  <w:style w:type="character" w:customStyle="1" w:styleId="SpecialBold">
    <w:name w:val="Special Bold"/>
    <w:basedOn w:val="DefaultParagraphFont"/>
    <w:rsid w:val="007A7A65"/>
    <w:rPr>
      <w:b/>
      <w:spacing w:val="0"/>
    </w:rPr>
  </w:style>
  <w:style w:type="paragraph" w:styleId="ListBullet2">
    <w:name w:val="List Bullet 2"/>
    <w:basedOn w:val="List2"/>
    <w:rsid w:val="007A7A65"/>
    <w:pPr>
      <w:numPr>
        <w:numId w:val="14"/>
      </w:numPr>
      <w:tabs>
        <w:tab w:val="clear" w:pos="680"/>
      </w:tabs>
    </w:pPr>
  </w:style>
  <w:style w:type="paragraph" w:customStyle="1" w:styleId="SuperHeading">
    <w:name w:val="SuperHeading"/>
    <w:basedOn w:val="Normal"/>
    <w:rsid w:val="007A7A65"/>
    <w:pPr>
      <w:spacing w:before="240" w:after="120"/>
      <w:outlineLvl w:val="0"/>
    </w:pPr>
    <w:rPr>
      <w:rFonts w:ascii="Times New Roman" w:hAnsi="Times New Roman"/>
      <w:b/>
      <w:sz w:val="32"/>
    </w:rPr>
  </w:style>
  <w:style w:type="paragraph" w:customStyle="1" w:styleId="AllowPageBreak">
    <w:name w:val="AllowPageBreak"/>
    <w:rsid w:val="007A7A6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A7A65"/>
    <w:pPr>
      <w:numPr>
        <w:numId w:val="3"/>
      </w:numPr>
      <w:tabs>
        <w:tab w:val="clear" w:pos="1021"/>
      </w:tabs>
      <w:ind w:left="1037" w:hanging="357"/>
    </w:pPr>
  </w:style>
  <w:style w:type="character" w:customStyle="1" w:styleId="BoldandItalics">
    <w:name w:val="Bold and Italics"/>
    <w:qFormat/>
    <w:rsid w:val="007A7A65"/>
    <w:rPr>
      <w:b/>
      <w:i/>
      <w:u w:val="none"/>
    </w:rPr>
  </w:style>
  <w:style w:type="character" w:customStyle="1" w:styleId="Heading2Char">
    <w:name w:val="Heading 2 Char"/>
    <w:basedOn w:val="DefaultParagraphFont"/>
    <w:link w:val="Heading2"/>
    <w:rsid w:val="007A7A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7A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7A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7A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7A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7A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7A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7A65"/>
    <w:rPr>
      <w:rFonts w:ascii="Courier New" w:eastAsia="Times New Roman" w:hAnsi="Courier New" w:cs="Times New Roman"/>
      <w:i/>
      <w:szCs w:val="20"/>
      <w:lang w:eastAsia="en-US"/>
    </w:rPr>
  </w:style>
  <w:style w:type="paragraph" w:customStyle="1" w:styleId="HeadingBase">
    <w:name w:val="Heading Base"/>
    <w:rsid w:val="007A7A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7A65"/>
    <w:pPr>
      <w:tabs>
        <w:tab w:val="right" w:leader="dot" w:pos="9072"/>
      </w:tabs>
      <w:ind w:left="567"/>
    </w:pPr>
    <w:rPr>
      <w:szCs w:val="22"/>
    </w:rPr>
  </w:style>
  <w:style w:type="paragraph" w:customStyle="1" w:styleId="TOCBase">
    <w:name w:val="TOC Base"/>
    <w:rsid w:val="007A7A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7A65"/>
    <w:pPr>
      <w:tabs>
        <w:tab w:val="right" w:leader="dot" w:pos="9072"/>
      </w:tabs>
      <w:spacing w:before="40" w:after="40"/>
      <w:ind w:left="284"/>
    </w:pPr>
    <w:rPr>
      <w:rFonts w:ascii="Times New Roman" w:hAnsi="Times New Roman"/>
    </w:rPr>
  </w:style>
  <w:style w:type="paragraph" w:styleId="TOC1">
    <w:name w:val="toc 1"/>
    <w:basedOn w:val="TOCBase"/>
    <w:next w:val="Normal"/>
    <w:rsid w:val="007A7A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7A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7A65"/>
    <w:rPr>
      <w:rFonts w:ascii="Times New Roman" w:eastAsia="Times New Roman" w:hAnsi="Times New Roman" w:cs="Times New Roman"/>
      <w:sz w:val="16"/>
      <w:lang w:eastAsia="en-US"/>
    </w:rPr>
  </w:style>
  <w:style w:type="paragraph" w:styleId="Title">
    <w:name w:val="Title"/>
    <w:basedOn w:val="HeadingBase"/>
    <w:link w:val="TitleChar"/>
    <w:qFormat/>
    <w:rsid w:val="007A7A65"/>
    <w:pPr>
      <w:spacing w:before="5040"/>
      <w:jc w:val="center"/>
    </w:pPr>
    <w:rPr>
      <w:sz w:val="48"/>
      <w:szCs w:val="72"/>
      <w:lang w:val="en-US"/>
    </w:rPr>
  </w:style>
  <w:style w:type="character" w:customStyle="1" w:styleId="TitleChar">
    <w:name w:val="Title Char"/>
    <w:basedOn w:val="DefaultParagraphFont"/>
    <w:link w:val="Title"/>
    <w:rsid w:val="007A7A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7A65"/>
    <w:pPr>
      <w:tabs>
        <w:tab w:val="left" w:pos="3600"/>
        <w:tab w:val="left" w:pos="3958"/>
      </w:tabs>
    </w:pPr>
  </w:style>
  <w:style w:type="paragraph" w:styleId="List">
    <w:name w:val="List"/>
    <w:basedOn w:val="BodyText"/>
    <w:next w:val="BodyText"/>
    <w:rsid w:val="007A7A65"/>
    <w:pPr>
      <w:tabs>
        <w:tab w:val="left" w:pos="340"/>
      </w:tabs>
      <w:spacing w:before="60" w:after="60"/>
      <w:ind w:left="340" w:hanging="340"/>
    </w:pPr>
  </w:style>
  <w:style w:type="paragraph" w:customStyle="1" w:styleId="Note">
    <w:name w:val="Note"/>
    <w:basedOn w:val="BodyText"/>
    <w:rsid w:val="007A7A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7A65"/>
    <w:pPr>
      <w:framePr w:wrap="auto" w:hAnchor="text" w:y="6049"/>
    </w:pPr>
    <w:rPr>
      <w:color w:val="000000"/>
      <w:sz w:val="40"/>
    </w:rPr>
  </w:style>
  <w:style w:type="paragraph" w:customStyle="1" w:styleId="TOCTitle">
    <w:name w:val="TOCTitle"/>
    <w:basedOn w:val="Heading1"/>
    <w:rsid w:val="007A7A65"/>
    <w:pPr>
      <w:spacing w:after="240"/>
      <w:jc w:val="center"/>
      <w:outlineLvl w:val="9"/>
    </w:pPr>
    <w:rPr>
      <w:caps/>
    </w:rPr>
  </w:style>
  <w:style w:type="paragraph" w:customStyle="1" w:styleId="Version">
    <w:name w:val="Version"/>
    <w:rsid w:val="007A7A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7A65"/>
    <w:pPr>
      <w:keepNext w:val="0"/>
      <w:tabs>
        <w:tab w:val="right" w:pos="4176"/>
      </w:tabs>
      <w:ind w:left="198" w:hanging="198"/>
    </w:pPr>
    <w:rPr>
      <w:rFonts w:ascii="Garamond" w:hAnsi="Garamond"/>
    </w:rPr>
  </w:style>
  <w:style w:type="paragraph" w:styleId="IndexHeading">
    <w:name w:val="index heading"/>
    <w:basedOn w:val="Normal"/>
    <w:next w:val="Index1"/>
    <w:semiHidden/>
    <w:rsid w:val="007A7A65"/>
    <w:pPr>
      <w:spacing w:before="120" w:after="120"/>
    </w:pPr>
    <w:rPr>
      <w:rFonts w:ascii="Arial" w:hAnsi="Arial"/>
      <w:b/>
      <w:color w:val="918585"/>
      <w:sz w:val="24"/>
    </w:rPr>
  </w:style>
  <w:style w:type="paragraph" w:styleId="Header">
    <w:name w:val="header"/>
    <w:basedOn w:val="Normal"/>
    <w:link w:val="HeaderChar"/>
    <w:rsid w:val="007A7A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7A65"/>
    <w:rPr>
      <w:rFonts w:ascii="Times New Roman" w:eastAsia="Times New Roman" w:hAnsi="Times New Roman" w:cs="Times New Roman"/>
      <w:sz w:val="16"/>
      <w:szCs w:val="20"/>
      <w:lang w:val="en-GB" w:eastAsia="en-US"/>
    </w:rPr>
  </w:style>
  <w:style w:type="paragraph" w:customStyle="1" w:styleId="Chapter">
    <w:name w:val="Chapter"/>
    <w:basedOn w:val="Normal"/>
    <w:rsid w:val="007A7A65"/>
    <w:pPr>
      <w:spacing w:before="240"/>
    </w:pPr>
    <w:rPr>
      <w:rFonts w:ascii="Times New Roman" w:hAnsi="Times New Roman"/>
      <w:smallCaps/>
      <w:spacing w:val="80"/>
      <w:sz w:val="28"/>
    </w:rPr>
  </w:style>
  <w:style w:type="paragraph" w:customStyle="1" w:styleId="InChapter">
    <w:name w:val="InChapter"/>
    <w:basedOn w:val="Heading3"/>
    <w:rsid w:val="007A7A65"/>
    <w:pPr>
      <w:spacing w:after="240"/>
      <w:outlineLvl w:val="9"/>
    </w:pPr>
    <w:rPr>
      <w:noProof/>
    </w:rPr>
  </w:style>
  <w:style w:type="paragraph" w:styleId="Index2">
    <w:name w:val="index 2"/>
    <w:basedOn w:val="Normal"/>
    <w:next w:val="Normal"/>
    <w:semiHidden/>
    <w:rsid w:val="007A7A65"/>
    <w:pPr>
      <w:tabs>
        <w:tab w:val="right" w:pos="4176"/>
      </w:tabs>
      <w:ind w:left="568" w:hanging="284"/>
    </w:pPr>
    <w:rPr>
      <w:rFonts w:ascii="Garamond" w:hAnsi="Garamond"/>
    </w:rPr>
  </w:style>
  <w:style w:type="paragraph" w:customStyle="1" w:styleId="Byline">
    <w:name w:val="Byline"/>
    <w:rsid w:val="007A7A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7A65"/>
    <w:pPr>
      <w:tabs>
        <w:tab w:val="clear" w:pos="3600"/>
        <w:tab w:val="clear" w:pos="3958"/>
      </w:tabs>
      <w:jc w:val="right"/>
    </w:pPr>
  </w:style>
  <w:style w:type="character" w:styleId="Emphasis">
    <w:name w:val="Emphasis"/>
    <w:basedOn w:val="DefaultParagraphFont"/>
    <w:qFormat/>
    <w:rsid w:val="007A7A65"/>
    <w:rPr>
      <w:i/>
    </w:rPr>
  </w:style>
  <w:style w:type="paragraph" w:styleId="Caption">
    <w:name w:val="caption"/>
    <w:basedOn w:val="BodyText"/>
    <w:next w:val="Normal"/>
    <w:qFormat/>
    <w:rsid w:val="007A7A65"/>
    <w:pPr>
      <w:framePr w:w="2268" w:hSpace="181" w:vSpace="181" w:wrap="around" w:vAnchor="text" w:hAnchor="page" w:x="1135" w:y="285" w:anchorLock="1"/>
    </w:pPr>
    <w:rPr>
      <w:i/>
    </w:rPr>
  </w:style>
  <w:style w:type="paragraph" w:customStyle="1" w:styleId="MiniTOCTitle">
    <w:name w:val="MiniTOCTitle"/>
    <w:basedOn w:val="Heading4"/>
    <w:rsid w:val="007A7A65"/>
    <w:pPr>
      <w:spacing w:before="240"/>
      <w:outlineLvl w:val="9"/>
    </w:pPr>
    <w:rPr>
      <w:noProof/>
      <w:sz w:val="24"/>
    </w:rPr>
  </w:style>
  <w:style w:type="paragraph" w:customStyle="1" w:styleId="MiniTOCItem">
    <w:name w:val="MiniTOCItem"/>
    <w:basedOn w:val="ListBullet"/>
    <w:rsid w:val="007A7A65"/>
    <w:pPr>
      <w:numPr>
        <w:numId w:val="0"/>
      </w:numPr>
      <w:tabs>
        <w:tab w:val="right" w:leader="dot" w:pos="6521"/>
      </w:tabs>
      <w:spacing w:before="0" w:after="0"/>
    </w:pPr>
  </w:style>
  <w:style w:type="paragraph" w:customStyle="1" w:styleId="TOFTitle">
    <w:name w:val="TOFTitle"/>
    <w:basedOn w:val="TOCTitle"/>
    <w:rsid w:val="007A7A65"/>
  </w:style>
  <w:style w:type="paragraph" w:styleId="TableofFigures">
    <w:name w:val="table of figures"/>
    <w:basedOn w:val="Normal"/>
    <w:next w:val="Normal"/>
    <w:semiHidden/>
    <w:rsid w:val="007A7A65"/>
    <w:pPr>
      <w:tabs>
        <w:tab w:val="right" w:leader="dot" w:pos="9072"/>
      </w:tabs>
      <w:ind w:left="970" w:hanging="403"/>
    </w:pPr>
    <w:rPr>
      <w:rFonts w:ascii="Times New Roman" w:hAnsi="Times New Roman"/>
      <w:b/>
    </w:rPr>
  </w:style>
  <w:style w:type="paragraph" w:styleId="ListNumber">
    <w:name w:val="List Number"/>
    <w:basedOn w:val="List"/>
    <w:rsid w:val="007A7A65"/>
    <w:pPr>
      <w:numPr>
        <w:numId w:val="16"/>
      </w:numPr>
      <w:tabs>
        <w:tab w:val="clear" w:pos="340"/>
      </w:tabs>
    </w:pPr>
  </w:style>
  <w:style w:type="character" w:customStyle="1" w:styleId="WingdingSymbols">
    <w:name w:val="Wingding Symbols"/>
    <w:rsid w:val="007A7A65"/>
    <w:rPr>
      <w:rFonts w:ascii="Wingdings" w:hAnsi="Wingdings"/>
    </w:rPr>
  </w:style>
  <w:style w:type="paragraph" w:customStyle="1" w:styleId="TableHeading">
    <w:name w:val="Table Heading"/>
    <w:basedOn w:val="HeadingBase"/>
    <w:rsid w:val="007A7A65"/>
    <w:pPr>
      <w:keepLines/>
      <w:pBdr>
        <w:bottom w:val="single" w:sz="6" w:space="1" w:color="918585"/>
      </w:pBdr>
      <w:spacing w:before="240"/>
    </w:pPr>
  </w:style>
  <w:style w:type="character" w:customStyle="1" w:styleId="HotSpot">
    <w:name w:val="HotSpot"/>
    <w:rsid w:val="007A7A65"/>
    <w:rPr>
      <w:color w:val="0033CC"/>
      <w:u w:val="none"/>
    </w:rPr>
  </w:style>
  <w:style w:type="paragraph" w:customStyle="1" w:styleId="BodyTextRight">
    <w:name w:val="Body Text Right"/>
    <w:basedOn w:val="BodyText"/>
    <w:rsid w:val="007A7A65"/>
    <w:pPr>
      <w:spacing w:before="0" w:after="0"/>
      <w:jc w:val="right"/>
    </w:pPr>
  </w:style>
  <w:style w:type="paragraph" w:styleId="Index3">
    <w:name w:val="index 3"/>
    <w:basedOn w:val="ListNumber2"/>
    <w:next w:val="Normal"/>
    <w:semiHidden/>
    <w:rsid w:val="007A7A65"/>
    <w:pPr>
      <w:numPr>
        <w:numId w:val="0"/>
      </w:numPr>
      <w:tabs>
        <w:tab w:val="right" w:leader="dot" w:pos="4176"/>
      </w:tabs>
    </w:pPr>
  </w:style>
  <w:style w:type="paragraph" w:styleId="ListNumber2">
    <w:name w:val="List Number 2"/>
    <w:basedOn w:val="List2"/>
    <w:rsid w:val="007A7A65"/>
    <w:pPr>
      <w:numPr>
        <w:numId w:val="11"/>
      </w:numPr>
      <w:tabs>
        <w:tab w:val="clear" w:pos="1060"/>
      </w:tabs>
    </w:pPr>
  </w:style>
  <w:style w:type="paragraph" w:customStyle="1" w:styleId="MarginNote">
    <w:name w:val="Margin Note"/>
    <w:basedOn w:val="BodyText"/>
    <w:rsid w:val="007A7A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7A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7A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7A65"/>
    <w:rPr>
      <w:sz w:val="32"/>
    </w:rPr>
  </w:style>
  <w:style w:type="paragraph" w:customStyle="1" w:styleId="HeadingProcedure">
    <w:name w:val="Heading Procedure"/>
    <w:basedOn w:val="HeadingBase"/>
    <w:next w:val="Normal"/>
    <w:rsid w:val="007A7A65"/>
    <w:pPr>
      <w:tabs>
        <w:tab w:val="left" w:pos="0"/>
      </w:tabs>
      <w:spacing w:before="120" w:after="60"/>
    </w:pPr>
    <w:rPr>
      <w:i/>
      <w:color w:val="918585"/>
      <w:sz w:val="22"/>
    </w:rPr>
  </w:style>
  <w:style w:type="paragraph" w:customStyle="1" w:styleId="TableBodyText">
    <w:name w:val="Table Body Text"/>
    <w:basedOn w:val="BodyText"/>
    <w:rsid w:val="007A7A65"/>
    <w:pPr>
      <w:spacing w:before="60" w:after="60"/>
    </w:pPr>
  </w:style>
  <w:style w:type="paragraph" w:styleId="ListContinue">
    <w:name w:val="List Continue"/>
    <w:basedOn w:val="List"/>
    <w:rsid w:val="007A7A65"/>
    <w:pPr>
      <w:ind w:firstLine="0"/>
    </w:pPr>
  </w:style>
  <w:style w:type="paragraph" w:customStyle="1" w:styleId="ListNote">
    <w:name w:val="List Note"/>
    <w:basedOn w:val="List"/>
    <w:rsid w:val="007A7A65"/>
    <w:pPr>
      <w:pBdr>
        <w:top w:val="single" w:sz="6" w:space="2" w:color="918585"/>
        <w:bottom w:val="single" w:sz="6" w:space="2" w:color="918585"/>
      </w:pBdr>
      <w:tabs>
        <w:tab w:val="left" w:pos="1021"/>
      </w:tabs>
      <w:ind w:firstLine="0"/>
    </w:pPr>
  </w:style>
  <w:style w:type="paragraph" w:customStyle="1" w:styleId="Warning">
    <w:name w:val="Warning"/>
    <w:basedOn w:val="BodyText"/>
    <w:rsid w:val="007A7A65"/>
    <w:pPr>
      <w:shd w:val="clear" w:color="auto" w:fill="D9D9D9"/>
      <w:tabs>
        <w:tab w:val="left" w:pos="992"/>
      </w:tabs>
      <w:ind w:left="119" w:right="119"/>
    </w:pPr>
    <w:rPr>
      <w:sz w:val="20"/>
    </w:rPr>
  </w:style>
  <w:style w:type="paragraph" w:customStyle="1" w:styleId="MarginIcons">
    <w:name w:val="Margin Icons"/>
    <w:basedOn w:val="BodyText"/>
    <w:rsid w:val="007A7A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7A65"/>
    <w:rPr>
      <w:rFonts w:ascii="Courier New" w:hAnsi="Courier New"/>
    </w:rPr>
  </w:style>
  <w:style w:type="paragraph" w:customStyle="1" w:styleId="NoteBullet">
    <w:name w:val="Note Bullet"/>
    <w:basedOn w:val="Note"/>
    <w:rsid w:val="007A7A65"/>
    <w:pPr>
      <w:tabs>
        <w:tab w:val="clear" w:pos="680"/>
      </w:tabs>
      <w:spacing w:before="60" w:after="60"/>
    </w:pPr>
  </w:style>
  <w:style w:type="paragraph" w:customStyle="1" w:styleId="SubHeading2">
    <w:name w:val="SubHeading2"/>
    <w:basedOn w:val="HeadingBase"/>
    <w:rsid w:val="007A7A65"/>
    <w:pPr>
      <w:spacing w:before="240" w:after="60"/>
    </w:pPr>
    <w:rPr>
      <w:sz w:val="20"/>
    </w:rPr>
  </w:style>
  <w:style w:type="paragraph" w:customStyle="1" w:styleId="SubHeading1">
    <w:name w:val="SubHeading1"/>
    <w:basedOn w:val="HeadingBase"/>
    <w:rsid w:val="007A7A65"/>
    <w:pPr>
      <w:spacing w:before="240" w:after="60"/>
    </w:pPr>
    <w:rPr>
      <w:color w:val="918585"/>
      <w:sz w:val="22"/>
    </w:rPr>
  </w:style>
  <w:style w:type="paragraph" w:customStyle="1" w:styleId="SideHeading">
    <w:name w:val="Side Heading"/>
    <w:basedOn w:val="HeadingBase"/>
    <w:rsid w:val="007A7A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7A65"/>
    <w:pPr>
      <w:numPr>
        <w:numId w:val="12"/>
      </w:numPr>
    </w:pPr>
  </w:style>
  <w:style w:type="paragraph" w:styleId="PlainText">
    <w:name w:val="Plain Text"/>
    <w:basedOn w:val="Normal"/>
    <w:link w:val="PlainTextChar"/>
    <w:rsid w:val="007A7A65"/>
    <w:rPr>
      <w:sz w:val="20"/>
    </w:rPr>
  </w:style>
  <w:style w:type="character" w:customStyle="1" w:styleId="PlainTextChar">
    <w:name w:val="Plain Text Char"/>
    <w:basedOn w:val="DefaultParagraphFont"/>
    <w:link w:val="PlainText"/>
    <w:rsid w:val="007A7A65"/>
    <w:rPr>
      <w:rFonts w:ascii="Courier New" w:eastAsia="Times New Roman" w:hAnsi="Courier New" w:cs="Times New Roman"/>
      <w:sz w:val="20"/>
      <w:szCs w:val="20"/>
      <w:lang w:eastAsia="en-US"/>
    </w:rPr>
  </w:style>
  <w:style w:type="character" w:customStyle="1" w:styleId="MenuOption">
    <w:name w:val="Menu Option"/>
    <w:basedOn w:val="DefaultParagraphFont"/>
    <w:rsid w:val="007A7A65"/>
    <w:rPr>
      <w:b/>
      <w:smallCaps/>
    </w:rPr>
  </w:style>
  <w:style w:type="paragraph" w:customStyle="1" w:styleId="TableListNumber">
    <w:name w:val="Table List Number"/>
    <w:basedOn w:val="ListNumber"/>
    <w:rsid w:val="007A7A65"/>
    <w:pPr>
      <w:numPr>
        <w:numId w:val="0"/>
      </w:numPr>
    </w:pPr>
  </w:style>
  <w:style w:type="paragraph" w:styleId="TOC4">
    <w:name w:val="toc 4"/>
    <w:basedOn w:val="TOCBase"/>
    <w:next w:val="Normal"/>
    <w:semiHidden/>
    <w:rsid w:val="007A7A65"/>
    <w:pPr>
      <w:tabs>
        <w:tab w:val="right" w:leader="dot" w:pos="9071"/>
      </w:tabs>
      <w:ind w:left="1701"/>
    </w:pPr>
  </w:style>
  <w:style w:type="paragraph" w:customStyle="1" w:styleId="ListAlpha">
    <w:name w:val="List Alpha"/>
    <w:basedOn w:val="List"/>
    <w:rsid w:val="007A7A65"/>
    <w:pPr>
      <w:numPr>
        <w:numId w:val="10"/>
      </w:numPr>
    </w:pPr>
  </w:style>
  <w:style w:type="paragraph" w:customStyle="1" w:styleId="ListAlpha2">
    <w:name w:val="List Alpha 2"/>
    <w:basedOn w:val="List2"/>
    <w:rsid w:val="007A7A65"/>
    <w:pPr>
      <w:numPr>
        <w:numId w:val="9"/>
      </w:numPr>
    </w:pPr>
  </w:style>
  <w:style w:type="paragraph" w:styleId="List2">
    <w:name w:val="List 2"/>
    <w:basedOn w:val="BodyText"/>
    <w:rsid w:val="007A7A65"/>
    <w:pPr>
      <w:tabs>
        <w:tab w:val="left" w:pos="680"/>
      </w:tabs>
      <w:spacing w:before="60" w:after="60"/>
      <w:ind w:left="680" w:hanging="340"/>
    </w:pPr>
  </w:style>
  <w:style w:type="paragraph" w:styleId="List3">
    <w:name w:val="List 3"/>
    <w:basedOn w:val="BodyText"/>
    <w:rsid w:val="007A7A65"/>
    <w:pPr>
      <w:tabs>
        <w:tab w:val="left" w:pos="1021"/>
      </w:tabs>
      <w:spacing w:before="60" w:after="60"/>
      <w:ind w:left="1020" w:hanging="340"/>
    </w:pPr>
  </w:style>
  <w:style w:type="paragraph" w:styleId="List4">
    <w:name w:val="List 4"/>
    <w:basedOn w:val="BodyText"/>
    <w:rsid w:val="007A7A65"/>
    <w:pPr>
      <w:tabs>
        <w:tab w:val="left" w:pos="1361"/>
      </w:tabs>
      <w:spacing w:before="60" w:after="60"/>
      <w:ind w:left="1361" w:hanging="340"/>
    </w:pPr>
  </w:style>
  <w:style w:type="paragraph" w:styleId="List5">
    <w:name w:val="List 5"/>
    <w:basedOn w:val="BodyText"/>
    <w:rsid w:val="007A7A65"/>
    <w:pPr>
      <w:tabs>
        <w:tab w:val="left" w:pos="1701"/>
      </w:tabs>
      <w:spacing w:before="60" w:after="60"/>
      <w:ind w:left="1701" w:hanging="340"/>
    </w:pPr>
  </w:style>
  <w:style w:type="paragraph" w:styleId="ListBullet4">
    <w:name w:val="List Bullet 4"/>
    <w:basedOn w:val="List4"/>
    <w:rsid w:val="007A7A65"/>
    <w:pPr>
      <w:numPr>
        <w:numId w:val="4"/>
      </w:numPr>
      <w:tabs>
        <w:tab w:val="clear" w:pos="1361"/>
      </w:tabs>
    </w:pPr>
  </w:style>
  <w:style w:type="paragraph" w:styleId="ListBullet5">
    <w:name w:val="List Bullet 5"/>
    <w:basedOn w:val="List5"/>
    <w:rsid w:val="007A7A65"/>
    <w:pPr>
      <w:numPr>
        <w:numId w:val="5"/>
      </w:numPr>
    </w:pPr>
  </w:style>
  <w:style w:type="paragraph" w:styleId="ListContinue2">
    <w:name w:val="List Continue 2"/>
    <w:basedOn w:val="List2"/>
    <w:rsid w:val="007A7A65"/>
    <w:pPr>
      <w:ind w:firstLine="0"/>
    </w:pPr>
  </w:style>
  <w:style w:type="paragraph" w:styleId="ListContinue3">
    <w:name w:val="List Continue 3"/>
    <w:basedOn w:val="List3"/>
    <w:rsid w:val="007A7A65"/>
    <w:pPr>
      <w:ind w:left="1021" w:firstLine="0"/>
    </w:pPr>
  </w:style>
  <w:style w:type="paragraph" w:styleId="ListContinue4">
    <w:name w:val="List Continue 4"/>
    <w:basedOn w:val="List4"/>
    <w:rsid w:val="007A7A65"/>
    <w:pPr>
      <w:ind w:firstLine="0"/>
    </w:pPr>
  </w:style>
  <w:style w:type="paragraph" w:styleId="ListContinue5">
    <w:name w:val="List Continue 5"/>
    <w:basedOn w:val="List5"/>
    <w:rsid w:val="007A7A65"/>
    <w:pPr>
      <w:ind w:firstLine="0"/>
    </w:pPr>
  </w:style>
  <w:style w:type="paragraph" w:styleId="ListNumber3">
    <w:name w:val="List Number 3"/>
    <w:basedOn w:val="List3"/>
    <w:rsid w:val="007A7A65"/>
    <w:pPr>
      <w:numPr>
        <w:numId w:val="6"/>
      </w:numPr>
    </w:pPr>
  </w:style>
  <w:style w:type="paragraph" w:styleId="ListNumber4">
    <w:name w:val="List Number 4"/>
    <w:basedOn w:val="List4"/>
    <w:rsid w:val="007A7A65"/>
    <w:pPr>
      <w:numPr>
        <w:numId w:val="7"/>
      </w:numPr>
    </w:pPr>
  </w:style>
  <w:style w:type="paragraph" w:styleId="ListNumber5">
    <w:name w:val="List Number 5"/>
    <w:basedOn w:val="List5"/>
    <w:rsid w:val="007A7A65"/>
    <w:pPr>
      <w:numPr>
        <w:numId w:val="8"/>
      </w:numPr>
    </w:pPr>
  </w:style>
  <w:style w:type="paragraph" w:styleId="BlockText">
    <w:name w:val="Block Text"/>
    <w:basedOn w:val="Normal"/>
    <w:rsid w:val="007A7A65"/>
    <w:pPr>
      <w:spacing w:after="120"/>
      <w:ind w:left="1440" w:right="1440"/>
    </w:pPr>
  </w:style>
  <w:style w:type="character" w:customStyle="1" w:styleId="Subscript">
    <w:name w:val="Subscript"/>
    <w:basedOn w:val="DefaultParagraphFont"/>
    <w:rsid w:val="007A7A65"/>
    <w:rPr>
      <w:sz w:val="16"/>
      <w:vertAlign w:val="subscript"/>
    </w:rPr>
  </w:style>
  <w:style w:type="character" w:customStyle="1" w:styleId="Superscript">
    <w:name w:val="Superscript"/>
    <w:basedOn w:val="DefaultParagraphFont"/>
    <w:rsid w:val="007A7A65"/>
    <w:rPr>
      <w:sz w:val="16"/>
      <w:vertAlign w:val="superscript"/>
    </w:rPr>
  </w:style>
  <w:style w:type="character" w:customStyle="1" w:styleId="Symbols">
    <w:name w:val="Symbols"/>
    <w:basedOn w:val="DefaultParagraphFont"/>
    <w:rsid w:val="007A7A65"/>
    <w:rPr>
      <w:rFonts w:ascii="Symbol" w:hAnsi="Symbol"/>
    </w:rPr>
  </w:style>
  <w:style w:type="character" w:customStyle="1" w:styleId="MenuOptions">
    <w:name w:val="Menu Options"/>
    <w:basedOn w:val="DefaultParagraphFont"/>
    <w:rsid w:val="007A7A65"/>
    <w:rPr>
      <w:rFonts w:ascii="Arial Narrow" w:hAnsi="Arial Narrow"/>
      <w:smallCaps/>
    </w:rPr>
  </w:style>
  <w:style w:type="character" w:customStyle="1" w:styleId="Buttons">
    <w:name w:val="Buttons"/>
    <w:basedOn w:val="DefaultParagraphFont"/>
    <w:rsid w:val="007A7A65"/>
    <w:rPr>
      <w:b/>
    </w:rPr>
  </w:style>
  <w:style w:type="character" w:customStyle="1" w:styleId="Underlined">
    <w:name w:val="Underlined"/>
    <w:basedOn w:val="DefaultParagraphFont"/>
    <w:rsid w:val="007A7A65"/>
    <w:rPr>
      <w:u w:val="single"/>
    </w:rPr>
  </w:style>
  <w:style w:type="paragraph" w:customStyle="1" w:styleId="TableBodyTextRight">
    <w:name w:val="Table Body Text Right"/>
    <w:basedOn w:val="TableBodyText"/>
    <w:rsid w:val="007A7A65"/>
    <w:pPr>
      <w:widowControl w:val="0"/>
      <w:autoSpaceDE w:val="0"/>
      <w:autoSpaceDN w:val="0"/>
      <w:adjustRightInd w:val="0"/>
      <w:jc w:val="right"/>
    </w:pPr>
    <w:rPr>
      <w:rFonts w:cs="Arial"/>
      <w:szCs w:val="18"/>
    </w:rPr>
  </w:style>
  <w:style w:type="paragraph" w:customStyle="1" w:styleId="CopyrightText">
    <w:name w:val="Copyright Text"/>
    <w:basedOn w:val="BodyText"/>
    <w:rsid w:val="007A7A65"/>
    <w:rPr>
      <w:sz w:val="18"/>
    </w:rPr>
  </w:style>
  <w:style w:type="paragraph" w:customStyle="1" w:styleId="BodySmallRight">
    <w:name w:val="Body Small Right"/>
    <w:basedOn w:val="BodyTextRight"/>
    <w:rsid w:val="007A7A65"/>
    <w:rPr>
      <w:sz w:val="18"/>
      <w:szCs w:val="18"/>
    </w:rPr>
  </w:style>
  <w:style w:type="paragraph" w:customStyle="1" w:styleId="MarginEdition">
    <w:name w:val="Margin Edition"/>
    <w:basedOn w:val="MarginNote"/>
    <w:rsid w:val="007A7A65"/>
    <w:pPr>
      <w:spacing w:before="0" w:after="0"/>
    </w:pPr>
    <w:rPr>
      <w:rFonts w:ascii="Times New Roman" w:hAnsi="Times New Roman"/>
      <w:color w:val="999999"/>
    </w:rPr>
  </w:style>
  <w:style w:type="paragraph" w:customStyle="1" w:styleId="Spacer">
    <w:name w:val="Spacer"/>
    <w:basedOn w:val="Normal"/>
    <w:rsid w:val="007A7A65"/>
    <w:rPr>
      <w:sz w:val="2"/>
      <w:szCs w:val="2"/>
    </w:rPr>
  </w:style>
  <w:style w:type="character" w:customStyle="1" w:styleId="Small">
    <w:name w:val="Small"/>
    <w:basedOn w:val="DefaultParagraphFont"/>
    <w:rsid w:val="007A7A65"/>
    <w:rPr>
      <w:sz w:val="16"/>
    </w:rPr>
  </w:style>
  <w:style w:type="paragraph" w:customStyle="1" w:styleId="WideTable">
    <w:name w:val="Wide Table"/>
    <w:basedOn w:val="Normal"/>
    <w:rsid w:val="007A7A65"/>
    <w:pPr>
      <w:ind w:left="-1418"/>
    </w:pPr>
    <w:rPr>
      <w:sz w:val="2"/>
      <w:szCs w:val="2"/>
    </w:rPr>
  </w:style>
  <w:style w:type="character" w:styleId="PageNumber">
    <w:name w:val="page number"/>
    <w:basedOn w:val="DefaultParagraphFont"/>
    <w:rsid w:val="007A7A65"/>
  </w:style>
  <w:style w:type="paragraph" w:styleId="Quote">
    <w:name w:val="Quote"/>
    <w:basedOn w:val="Heading1"/>
    <w:link w:val="QuoteChar"/>
    <w:qFormat/>
    <w:rsid w:val="007A7A65"/>
    <w:rPr>
      <w:b w:val="0"/>
      <w:sz w:val="72"/>
      <w:szCs w:val="72"/>
      <w:lang w:val="en-NZ"/>
    </w:rPr>
  </w:style>
  <w:style w:type="character" w:customStyle="1" w:styleId="QuoteChar">
    <w:name w:val="Quote Char"/>
    <w:basedOn w:val="DefaultParagraphFont"/>
    <w:link w:val="Quote"/>
    <w:rsid w:val="007A7A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7A65"/>
    <w:pPr>
      <w:pageBreakBefore/>
    </w:pPr>
  </w:style>
  <w:style w:type="paragraph" w:customStyle="1" w:styleId="Border">
    <w:name w:val="Border"/>
    <w:basedOn w:val="Normal"/>
    <w:qFormat/>
    <w:rsid w:val="007A7A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7A65"/>
    <w:rPr>
      <w:b/>
      <w:bCs/>
      <w:i/>
      <w:iCs/>
      <w:color w:val="auto"/>
    </w:rPr>
  </w:style>
  <w:style w:type="paragraph" w:styleId="IntenseQuote">
    <w:name w:val="Intense Quote"/>
    <w:basedOn w:val="Normal"/>
    <w:next w:val="Normal"/>
    <w:link w:val="IntenseQuoteChar"/>
    <w:uiPriority w:val="30"/>
    <w:qFormat/>
    <w:rsid w:val="007A7A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7A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7A65"/>
    <w:rPr>
      <w:smallCaps/>
      <w:color w:val="auto"/>
      <w:u w:val="single"/>
    </w:rPr>
  </w:style>
  <w:style w:type="character" w:styleId="IntenseReference">
    <w:name w:val="Intense Reference"/>
    <w:basedOn w:val="DefaultParagraphFont"/>
    <w:uiPriority w:val="32"/>
    <w:qFormat/>
    <w:rsid w:val="007A7A65"/>
    <w:rPr>
      <w:b/>
      <w:bCs/>
      <w:smallCaps/>
      <w:color w:val="auto"/>
      <w:spacing w:val="5"/>
      <w:u w:val="single"/>
    </w:rPr>
  </w:style>
  <w:style w:type="paragraph" w:customStyle="1" w:styleId="2ColumnHeading">
    <w:name w:val="2Column Heading"/>
    <w:basedOn w:val="BodyText"/>
    <w:qFormat/>
    <w:rsid w:val="007A7A65"/>
    <w:pPr>
      <w:spacing w:after="60"/>
      <w:ind w:left="-2268"/>
    </w:pPr>
    <w:rPr>
      <w:b/>
    </w:rPr>
  </w:style>
  <w:style w:type="paragraph" w:customStyle="1" w:styleId="Heading1TOC">
    <w:name w:val="Heading1 TOC"/>
    <w:basedOn w:val="Normal"/>
    <w:qFormat/>
    <w:rsid w:val="007A7A65"/>
    <w:pPr>
      <w:spacing w:before="240" w:after="120"/>
    </w:pPr>
    <w:rPr>
      <w:rFonts w:ascii="Times New Roman" w:hAnsi="Times New Roman"/>
      <w:b/>
      <w:sz w:val="32"/>
    </w:rPr>
  </w:style>
  <w:style w:type="paragraph" w:customStyle="1" w:styleId="Heading2TOC">
    <w:name w:val="Heading2 TOC"/>
    <w:basedOn w:val="Normal"/>
    <w:qFormat/>
    <w:rsid w:val="007A7A65"/>
    <w:pPr>
      <w:spacing w:before="240" w:after="60"/>
    </w:pPr>
    <w:rPr>
      <w:rFonts w:ascii="Times New Roman" w:hAnsi="Times New Roman"/>
      <w:b/>
      <w:sz w:val="28"/>
    </w:rPr>
  </w:style>
  <w:style w:type="character" w:customStyle="1" w:styleId="Underline">
    <w:name w:val="Underline"/>
    <w:basedOn w:val="DefaultParagraphFont"/>
    <w:qFormat/>
    <w:rsid w:val="007A7A65"/>
    <w:rPr>
      <w:u w:val="single"/>
    </w:rPr>
  </w:style>
  <w:style w:type="paragraph" w:styleId="BalloonText">
    <w:name w:val="Balloon Text"/>
    <w:basedOn w:val="Normal"/>
    <w:link w:val="BalloonTextChar"/>
    <w:rsid w:val="007A7A65"/>
    <w:rPr>
      <w:rFonts w:ascii="Tahoma" w:hAnsi="Tahoma" w:cs="Tahoma"/>
      <w:sz w:val="16"/>
      <w:szCs w:val="16"/>
    </w:rPr>
  </w:style>
  <w:style w:type="character" w:customStyle="1" w:styleId="BalloonTextChar">
    <w:name w:val="Balloon Text Char"/>
    <w:basedOn w:val="DefaultParagraphFont"/>
    <w:link w:val="BalloonText"/>
    <w:rsid w:val="007A7A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7A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7A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7A65"/>
    <w:rPr>
      <w:b/>
      <w:color w:val="660033"/>
      <w:spacing w:val="0"/>
    </w:rPr>
  </w:style>
  <w:style w:type="paragraph" w:customStyle="1" w:styleId="Nameditemlist">
    <w:name w:val="Named item list"/>
    <w:basedOn w:val="BodyText"/>
    <w:qFormat/>
    <w:rsid w:val="007A7A65"/>
    <w:pPr>
      <w:tabs>
        <w:tab w:val="left" w:pos="2835"/>
      </w:tabs>
      <w:ind w:left="2835" w:hanging="2835"/>
    </w:pPr>
  </w:style>
  <w:style w:type="paragraph" w:customStyle="1" w:styleId="BodyTextnopadding">
    <w:name w:val="Body Text no padding"/>
    <w:basedOn w:val="BodyText"/>
    <w:qFormat/>
    <w:rsid w:val="007A7A65"/>
    <w:pPr>
      <w:spacing w:before="0" w:after="0"/>
    </w:pPr>
  </w:style>
  <w:style w:type="paragraph" w:customStyle="1" w:styleId="BodyTextBold">
    <w:name w:val="Body Text Bold"/>
    <w:basedOn w:val="BodyText"/>
    <w:qFormat/>
    <w:rsid w:val="007A7A65"/>
    <w:rPr>
      <w:b/>
    </w:rPr>
  </w:style>
  <w:style w:type="character" w:styleId="Hyperlink">
    <w:name w:val="Hyperlink"/>
    <w:basedOn w:val="DefaultParagraphFont"/>
    <w:uiPriority w:val="99"/>
    <w:unhideWhenUsed/>
    <w:rsid w:val="00AF48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1292</Words>
  <Characters>8272</Characters>
  <Application>Microsoft Office Word</Application>
  <DocSecurity>0</DocSecurity>
  <Lines>330</Lines>
  <Paragraphs>154</Paragraphs>
  <ScaleCrop>false</ScaleCrop>
  <Company>Author-it Software Corporation Ltd.</Company>
  <LinksUpToDate>false</LinksUpToDate>
  <CharactersWithSpaces>9410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CPCCBS6005 Assess and advise on compliance of design documentation for commercial buildings to three storeys</dc:title>
  <dc:subject>Approved</dc:subject>
  <dc:creator>Artibus Innovation</dc:creator>
  <cp:keywords>Release: 2</cp:keywords>
  <dc:description>Review Date: 12 April 2008</dc:description>
  <cp:lastModifiedBy>HSD_TPCMSd.prod</cp:lastModifiedBy>
  <cp:revision>3</cp:revision>
  <dcterms:created xsi:type="dcterms:W3CDTF">2020-12-23T10:33:00Z</dcterms:created>
  <dcterms:modified xsi:type="dcterms:W3CDTF">2020-12-23T10:33:00Z</dcterms:modified>
</cp:coreProperties>
</file>