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0AFC" w:rsidP="00EA0AFC">
      <w:pPr>
        <w:pStyle w:val="Title"/>
      </w:pPr>
      <w:r>
        <w:fldChar w:fldCharType="begin"/>
      </w:r>
      <w:r>
        <w:instrText xml:space="preserve"> TITLE   \* MERGEFORMAT </w:instrText>
      </w:r>
      <w:r>
        <w:fldChar w:fldCharType="separate"/>
      </w:r>
      <w:r>
        <w:t>CPCCBS6004 Assess and advise on compliance of design documentation for residential buildings to three storeys</w:t>
      </w:r>
      <w:r>
        <w:fldChar w:fldCharType="end"/>
      </w:r>
    </w:p>
    <w:p w:rsidR="00EA0AFC" w:rsidP="00EA0AFC">
      <w:pPr>
        <w:pStyle w:val="Version"/>
        <w:sectPr w:rsidSect="00033B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33B6E" w:rsidP="00033B6E">
      <w:pPr>
        <w:pStyle w:val="SuperHeading"/>
      </w:pPr>
      <w:r w:rsidRPr="00033B6E">
        <w:t>CPCCBS6004 Assess and advise on compliance of design documentation for residential buildings to three storeys</w:t>
      </w:r>
    </w:p>
    <w:p w:rsidR="00000000" w:rsidRPr="00033B6E" w:rsidP="00033B6E">
      <w:pPr>
        <w:pStyle w:val="Heading1"/>
      </w:pPr>
      <w:bookmarkStart w:id="1" w:name="O_733877"/>
      <w:bookmarkEnd w:id="1"/>
      <w:r w:rsidRPr="00033B6E">
        <w:t>Modification History</w:t>
      </w:r>
    </w:p>
    <w:p w:rsidR="00000000" w:rsidRPr="00033B6E" w:rsidP="00EA0AFC">
      <w:pPr>
        <w:pStyle w:val="BodyText"/>
      </w:pPr>
      <w:r w:rsidRPr="00033B6E">
        <w:t xml:space="preserve">Release 1. </w:t>
      </w:r>
    </w:p>
    <w:p w:rsidR="00000000" w:rsidRPr="00033B6E" w:rsidP="00EA0AFC">
      <w:pPr>
        <w:pStyle w:val="BodyText"/>
      </w:pPr>
      <w:r w:rsidRPr="00033B6E">
        <w:t>This version first released with CPC Construction, Plumbing and Services Training Package Version 1.</w:t>
      </w:r>
    </w:p>
    <w:p w:rsidR="00000000" w:rsidRPr="00033B6E" w:rsidP="00033B6E">
      <w:pPr>
        <w:pStyle w:val="Heading1"/>
      </w:pPr>
      <w:bookmarkStart w:id="2" w:name="O_733885"/>
      <w:bookmarkEnd w:id="2"/>
      <w:r w:rsidRPr="00033B6E">
        <w:t>Application</w:t>
      </w:r>
    </w:p>
    <w:p w:rsidR="00000000" w:rsidRPr="00033B6E" w:rsidP="00EA0AFC">
      <w:pPr>
        <w:pStyle w:val="BodyText"/>
      </w:pPr>
      <w:r w:rsidRPr="00033B6E">
        <w:t>This unit of competency specifies the outcomes required to review proposed building design documentation during the design pro</w:t>
      </w:r>
      <w:r w:rsidRPr="00033B6E">
        <w:t>cess for buildings and structures included in Building Code of Australia (BCA) definitions for class 1 and 10 up to three storeys and not more than 2000 square metres in floor area. It applies to providing advice on the preparation of planning and building</w:t>
      </w:r>
      <w:r w:rsidRPr="00033B6E">
        <w:t xml:space="preserve"> approval applications and on the compliance of proposed design documentation with the requirements of building and planning legislation, regulations, codes and standards that apply to the nature and location of each project. </w:t>
      </w:r>
    </w:p>
    <w:p w:rsidR="00000000" w:rsidRPr="00033B6E" w:rsidP="00EA0AFC">
      <w:pPr>
        <w:pStyle w:val="BodyText"/>
      </w:pPr>
      <w:r w:rsidRPr="00033B6E">
        <w:t>The unit supports the work o</w:t>
      </w:r>
      <w:r w:rsidRPr="00033B6E">
        <w:t>f building surveyors providing advisory code-consulting services to building and construction professionals involved in developing building design documentation up to the building approval application stage. The building surveyor may provide advice concurr</w:t>
      </w:r>
      <w:r w:rsidRPr="00033B6E">
        <w:t xml:space="preserve">ently on a range of building design projects in different locations. </w:t>
      </w:r>
    </w:p>
    <w:p w:rsidR="00000000" w:rsidRPr="00033B6E" w:rsidP="00EA0AFC">
      <w:pPr>
        <w:pStyle w:val="BodyText"/>
      </w:pPr>
      <w:r w:rsidRPr="00033B6E">
        <w:t>Building surveyors must operate within the regulatory constraints that govern the relationship between their advisory and statutory roles and ensure that no conflict of interest arises.</w:t>
      </w:r>
    </w:p>
    <w:p w:rsidR="00000000" w:rsidRPr="00033B6E" w:rsidP="00EA0AFC">
      <w:pPr>
        <w:pStyle w:val="BodyText"/>
      </w:pPr>
      <w:r w:rsidRPr="00033B6E">
        <w:t>Licensing, legislative, regulatory or certification requirements apply to this unit in some States. Relevant state and territory regulatory authorities should be consulted to confirm those requirements.</w:t>
      </w:r>
    </w:p>
    <w:p w:rsidR="00000000" w:rsidRPr="00033B6E" w:rsidP="00033B6E">
      <w:pPr>
        <w:pStyle w:val="Heading1"/>
      </w:pPr>
      <w:bookmarkStart w:id="3" w:name="O_733884"/>
      <w:bookmarkEnd w:id="3"/>
      <w:r w:rsidRPr="00033B6E">
        <w:t>Pre-requisite Unit</w:t>
      </w:r>
    </w:p>
    <w:p w:rsidR="00000000" w:rsidRPr="00033B6E" w:rsidP="00EA0AFC">
      <w:pPr>
        <w:pStyle w:val="BodyText"/>
      </w:pPr>
      <w:r w:rsidRPr="00033B6E">
        <w:t>Nil</w:t>
      </w:r>
    </w:p>
    <w:p w:rsidR="00000000" w:rsidRPr="00033B6E" w:rsidP="00033B6E">
      <w:pPr>
        <w:pStyle w:val="Heading1"/>
      </w:pPr>
      <w:bookmarkStart w:id="4" w:name="O_733883"/>
      <w:bookmarkEnd w:id="4"/>
      <w:r w:rsidRPr="00033B6E">
        <w:t>Competency Field</w:t>
      </w:r>
    </w:p>
    <w:p w:rsidR="00000000" w:rsidRPr="00033B6E" w:rsidP="00EA0AFC">
      <w:pPr>
        <w:pStyle w:val="BodyText"/>
      </w:pPr>
      <w:r w:rsidRPr="00033B6E">
        <w:t>Building surveying</w:t>
      </w:r>
    </w:p>
    <w:p w:rsidR="00000000" w:rsidRPr="00033B6E" w:rsidP="00033B6E">
      <w:pPr>
        <w:pStyle w:val="Heading1"/>
      </w:pPr>
      <w:bookmarkStart w:id="5" w:name="O_733882"/>
      <w:bookmarkEnd w:id="5"/>
      <w:r w:rsidRPr="00033B6E">
        <w:t>Unit Sector</w:t>
      </w:r>
    </w:p>
    <w:p w:rsidR="00000000" w:rsidRPr="00033B6E" w:rsidP="00EA0AFC">
      <w:pPr>
        <w:pStyle w:val="BodyText"/>
      </w:pPr>
      <w:r w:rsidRPr="00033B6E">
        <w:t>Construction</w:t>
      </w:r>
    </w:p>
    <w:p w:rsidR="00000000" w:rsidRPr="00033B6E" w:rsidP="00033B6E">
      <w:pPr>
        <w:pStyle w:val="Heading1"/>
      </w:pPr>
      <w:bookmarkStart w:id="6" w:name="O_733881"/>
      <w:bookmarkEnd w:id="6"/>
      <w:r w:rsidRPr="00033B6E">
        <w:t>Elements and Performance Criteria</w:t>
      </w:r>
    </w:p>
    <w:tbl>
      <w:tblPr>
        <w:tblW w:w="0" w:type="auto"/>
        <w:tblLayout w:type="fixed"/>
        <w:tblCellMar>
          <w:left w:w="62" w:type="dxa"/>
          <w:right w:w="62" w:type="dxa"/>
        </w:tblCellMar>
        <w:tblLook w:val="0000"/>
      </w:tblPr>
      <w:tblGrid>
        <w:gridCol w:w="540"/>
        <w:gridCol w:w="2100"/>
        <w:gridCol w:w="770"/>
        <w:gridCol w:w="5610"/>
      </w:tblGrid>
      <w:tr w:rsidTr="00033B6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Performance criteria describe the performance needed to demonstrate achievement of the element. Where bold italicised text is used, further information is detailed in the range of conditions.</w:t>
            </w:r>
          </w:p>
        </w:tc>
      </w:tr>
      <w:tr w:rsidTr="00033B6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1.</w:t>
            </w:r>
          </w:p>
        </w:tc>
        <w:tc>
          <w:tcPr>
            <w:tcW w:w="210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Plan and manage code-consulting services.</w:t>
            </w: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1.1.</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Scope and na</w:t>
            </w:r>
            <w:r w:rsidRPr="00033B6E">
              <w:t>ture of advice required by clients are determined and details of services to be offered at different stages of projects, timelines and fees are identified and confirmed.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1.2.</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External personnel required to provide advice at different stages of projects,</w:t>
            </w:r>
            <w:r w:rsidRPr="00033B6E">
              <w:t xml:space="preserve"> or on </w:t>
            </w:r>
            <w:r w:rsidRPr="00033B6E">
              <w:rPr>
                <w:rStyle w:val="BoldandItalics"/>
              </w:rPr>
              <w:t>specialist areas of expertise,</w:t>
            </w:r>
            <w:r w:rsidRPr="00033B6E">
              <w:t xml:space="preserve"> are identified, engaged and briefed.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1.3.</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Project management processes are implemented and monitored to ensure accurate and timely advice is provided within the scope of specified service levels.</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1.4.</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File management processes are implemented and monitored according to workplace requirements.</w:t>
            </w:r>
          </w:p>
        </w:tc>
      </w:tr>
      <w:tr w:rsidTr="00033B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w:t>
            </w:r>
          </w:p>
        </w:tc>
        <w:tc>
          <w:tcPr>
            <w:tcW w:w="210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Confirm compliance requirements for different projects and inform clients</w:t>
            </w: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2.1.</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State or territory building control</w:t>
            </w:r>
            <w:r w:rsidRPr="00033B6E">
              <w:t xml:space="preserve"> legislation and regulations for the building or structure, and location of each project, are researched and confirmed.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2.2.</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Requirements of the National Construction Code (NCC) and Australian standards referenced by the NCC for the building or structur</w:t>
            </w:r>
            <w:r w:rsidRPr="00033B6E">
              <w:t>e, and location of each project, are confirmed.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2.3.</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State or territory and local authority planning constraints are researched and confirmed.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2.4.</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Professional network is consulted, where required, on technically accurate interpretation and application of compliance requirements in relation to alternative solutions.</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2.5.</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 xml:space="preserve">Compliance requirements for specific projects and locations are explained to </w:t>
            </w:r>
            <w:r w:rsidRPr="00033B6E">
              <w:t xml:space="preserve">clients, and questions are </w:t>
            </w:r>
            <w:r w:rsidRPr="00033B6E">
              <w:t>invited and addressed.</w:t>
            </w:r>
          </w:p>
        </w:tc>
      </w:tr>
      <w:tr w:rsidTr="00033B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w:t>
            </w:r>
          </w:p>
        </w:tc>
        <w:tc>
          <w:tcPr>
            <w:tcW w:w="210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Advise on architectural drawings and documentation prepared for planning approval.</w:t>
            </w: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3.1.</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Clients are advised of drawings and documentation required for the planning approval process for each project.</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3.2.</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Architectural drawings and documentation prepared for planning approval applications are checked for completeness and examined at the agr</w:t>
            </w:r>
            <w:r w:rsidRPr="00033B6E">
              <w:t>eed service level, and compliance issues are identified and recorded.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3.3.</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Advice on specialist areas of expertise is sought, where required, and compliance issues are identified and recorded.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3.4.</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Cost-effective and efficient design alternatives that meet compliance requirements are identified as required and explained to clients.</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033B6E" w:rsidP="00033B6E">
            <w:pPr>
              <w:pStyle w:val="BodyText"/>
            </w:pPr>
            <w:r w:rsidRPr="00033B6E">
              <w:t>3.5.</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rPr>
                <w:rStyle w:val="BoldandItalics"/>
              </w:rPr>
              <w:t>Solutions to compliance issues</w:t>
            </w:r>
            <w:r w:rsidRPr="00033B6E">
              <w:t xml:space="preserve"> are developed in consultation with colleagues and specialist experts as required,</w:t>
            </w:r>
            <w:r w:rsidRPr="00033B6E">
              <w:t xml:space="preserve"> and are documented.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3.6.</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Compliance advisory report is prepared, presented and explained to clients; and questions are invited and addressed.</w:t>
            </w:r>
          </w:p>
        </w:tc>
      </w:tr>
      <w:tr w:rsidTr="00033B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w:t>
            </w:r>
          </w:p>
        </w:tc>
        <w:tc>
          <w:tcPr>
            <w:tcW w:w="210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Advise on architectural drawings and documentation prepared for building approval.</w:t>
            </w: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4.1.</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Clients are advised of drawings and documentation required for the building approval process for each project.</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4.2.</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Architectural drawings and documentation prepared for building approval applications are checked for completeness and examined at the agr</w:t>
            </w:r>
            <w:r w:rsidRPr="00033B6E">
              <w:t>eed service level, and compliance issues are identified and recorded.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4.3.</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Advice on specialist areas of expertise is sought, where required, and compliance issues are identified and recorded.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4.4.</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Cost-effective and efficient design alternatives that meet compliance requirements are identified as required and explained to clients.</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4.5.</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Solutions to compliance issues are developed in consultation with colleagues and specialist experts as required,</w:t>
            </w:r>
            <w:r w:rsidRPr="00033B6E">
              <w:t xml:space="preserve"> and are documented.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4.6.</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 xml:space="preserve">Compliance advisory report is prepared, presented and explained to clients; and questions are invited and addressed. </w:t>
            </w:r>
          </w:p>
        </w:tc>
      </w:tr>
      <w:tr w:rsidTr="00033B6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54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5.</w:t>
            </w:r>
          </w:p>
        </w:tc>
        <w:tc>
          <w:tcPr>
            <w:tcW w:w="2100" w:type="dxa"/>
            <w:vMerge w:val="restart"/>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Respond to client enquiries regarding compliance issues.</w:t>
            </w: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5.1.</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Client requests for information regarding compliance issues are assessed as either within or outside scope of service, and when outside scope additional fees are negotiated and agreed as required.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5.2.</w:t>
            </w:r>
          </w:p>
        </w:tc>
        <w:tc>
          <w:tcPr>
            <w:tcW w:w="561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 xml:space="preserve">Details of requests for information are determined </w:t>
            </w:r>
            <w:r w:rsidRPr="00033B6E">
              <w:t>and response is researched, in consultation with specialist experts as required.</w:t>
            </w:r>
          </w:p>
        </w:tc>
      </w:tr>
      <w:tr w:rsidTr="00033B6E">
        <w:tblPrEx>
          <w:tblW w:w="0" w:type="auto"/>
          <w:tblLayout w:type="fixed"/>
          <w:tblCellMar>
            <w:left w:w="62" w:type="dxa"/>
            <w:right w:w="62" w:type="dxa"/>
          </w:tblCellMar>
          <w:tblLook w:val="0000"/>
        </w:tblPrEx>
        <w:tc>
          <w:tcPr>
            <w:tcW w:w="54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0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5.3.</w:t>
            </w:r>
          </w:p>
        </w:tc>
        <w:tc>
          <w:tcPr>
            <w:tcW w:w="5610" w:type="dxa"/>
            <w:tcBorders>
              <w:top w:val="nil"/>
              <w:left w:val="nil"/>
              <w:bottom w:val="nil"/>
              <w:right w:val="nil"/>
            </w:tcBorders>
            <w:tcMar>
              <w:top w:w="0" w:type="dxa"/>
              <w:left w:w="62" w:type="dxa"/>
              <w:bottom w:w="0" w:type="dxa"/>
              <w:right w:w="62" w:type="dxa"/>
            </w:tcMar>
          </w:tcPr>
          <w:p w:rsidR="00000000" w:rsidRPr="00033B6E" w:rsidP="00033B6E">
            <w:pPr>
              <w:pStyle w:val="BodyText"/>
            </w:pPr>
            <w:r w:rsidRPr="00033B6E">
              <w:t>Advice on compliance issues is presented to clients in required format, and questions are invited and addressed.</w:t>
            </w:r>
          </w:p>
        </w:tc>
      </w:tr>
    </w:tbl>
    <w:p w:rsidR="00000000" w:rsidRPr="00033B6E" w:rsidP="00033B6E">
      <w:pPr>
        <w:pStyle w:val="BodyText"/>
      </w:pPr>
    </w:p>
    <w:p w:rsidR="00000000" w:rsidRPr="00033B6E" w:rsidP="00033B6E">
      <w:pPr>
        <w:pStyle w:val="AllowPageBreak"/>
      </w:pPr>
    </w:p>
    <w:p w:rsidR="00000000" w:rsidRPr="00033B6E" w:rsidP="00033B6E">
      <w:pPr>
        <w:pStyle w:val="Heading1"/>
      </w:pPr>
      <w:bookmarkStart w:id="7" w:name="O_733880"/>
      <w:bookmarkEnd w:id="7"/>
      <w:r w:rsidRPr="00033B6E">
        <w:t>Foundation Skills</w:t>
      </w:r>
    </w:p>
    <w:tbl>
      <w:tblPr>
        <w:tblW w:w="0" w:type="auto"/>
        <w:tblLayout w:type="fixed"/>
        <w:tblCellMar>
          <w:left w:w="62" w:type="dxa"/>
          <w:right w:w="62" w:type="dxa"/>
        </w:tblCellMar>
        <w:tblLook w:val="0000"/>
      </w:tblPr>
      <w:tblGrid>
        <w:gridCol w:w="2256"/>
        <w:gridCol w:w="6878"/>
      </w:tblGrid>
      <w:tr w:rsidTr="00033B6E">
        <w:tblPrEx>
          <w:tblW w:w="0" w:type="auto"/>
          <w:tblLayout w:type="fixed"/>
          <w:tblCellMar>
            <w:left w:w="62" w:type="dxa"/>
            <w:right w:w="62" w:type="dxa"/>
          </w:tblCellMar>
          <w:tblLook w:val="0000"/>
        </w:tblPrEx>
        <w:trPr>
          <w:tblHeader/>
        </w:trPr>
        <w:tc>
          <w:tcPr>
            <w:tcW w:w="9134" w:type="dxa"/>
            <w:gridSpan w:val="2"/>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This section describes the language, literacy, numeracy and employment skills essential to performance in this unit but not explicit in the performance criteria.</w:t>
            </w:r>
          </w:p>
        </w:tc>
      </w:tr>
      <w:tr w:rsidTr="00033B6E">
        <w:tblPrEx>
          <w:tblW w:w="0" w:type="auto"/>
          <w:tblLayout w:type="fixed"/>
          <w:tblCellMar>
            <w:left w:w="62" w:type="dxa"/>
            <w:right w:w="62" w:type="dxa"/>
          </w:tblCellMar>
          <w:tblLook w:val="0000"/>
        </w:tblPrEx>
        <w:trPr>
          <w:tblHeader/>
        </w:trPr>
        <w:tc>
          <w:tcPr>
            <w:tcW w:w="2256" w:type="dxa"/>
            <w:tcBorders>
              <w:top w:val="nil"/>
              <w:left w:val="nil"/>
              <w:bottom w:val="nil"/>
              <w:right w:val="nil"/>
            </w:tcBorders>
            <w:tcMar>
              <w:top w:w="0" w:type="dxa"/>
              <w:left w:w="62" w:type="dxa"/>
              <w:bottom w:w="0" w:type="dxa"/>
              <w:right w:w="62" w:type="dxa"/>
            </w:tcMar>
          </w:tcPr>
          <w:p w:rsidR="00000000" w:rsidRPr="00033B6E" w:rsidP="00033B6E">
            <w:pPr>
              <w:pStyle w:val="BodyText"/>
            </w:pPr>
            <w:r w:rsidRPr="00033B6E">
              <w:rPr>
                <w:rStyle w:val="SpecialBold"/>
              </w:rPr>
              <w:t>Skill</w:t>
            </w:r>
          </w:p>
        </w:tc>
        <w:tc>
          <w:tcPr>
            <w:tcW w:w="6878"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rPr>
                <w:rStyle w:val="SpecialBold"/>
              </w:rPr>
              <w:t>Performance feature</w:t>
            </w:r>
          </w:p>
        </w:tc>
      </w:tr>
      <w:tr w:rsidTr="00033B6E">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Learning skills to:</w:t>
            </w:r>
          </w:p>
        </w:tc>
        <w:tc>
          <w:tcPr>
            <w:tcW w:w="6878"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independently access and interpret a range of complex technical information relating to compliance requirements for class 1 and 10 buildings and structures, including specific requirements for particular geographic and climatic areas and different planning</w:t>
            </w:r>
            <w:r w:rsidRPr="00033B6E">
              <w:t xml:space="preserve"> schemes and codes</w:t>
            </w:r>
          </w:p>
          <w:p w:rsidR="00000000" w:rsidRPr="00033B6E" w:rsidP="00033B6E">
            <w:pPr>
              <w:pStyle w:val="ListBullet"/>
            </w:pPr>
            <w:r w:rsidRPr="00033B6E">
              <w:t xml:space="preserve">use structured approaches to maintain currency of skills and knowledge as a regular part of routine through, for example, email alerts, conferences, or subscriptions to relevant journals. </w:t>
            </w:r>
          </w:p>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Numeracy skills to:</w:t>
            </w:r>
          </w:p>
        </w:tc>
        <w:tc>
          <w:tcPr>
            <w:tcW w:w="6878"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extract and interpret a r</w:t>
            </w:r>
            <w:r w:rsidRPr="00033B6E">
              <w:t>ange of mathematical information contained in technical documentation relating to the design of class 1 and 10 buildings and structures, including:</w:t>
            </w:r>
          </w:p>
          <w:p w:rsidR="00000000" w:rsidRPr="00033B6E" w:rsidP="00033B6E">
            <w:pPr>
              <w:pStyle w:val="ListBullet2"/>
            </w:pPr>
            <w:r w:rsidRPr="00033B6E">
              <w:t>ratios, rates and proportions</w:t>
            </w:r>
          </w:p>
          <w:p w:rsidR="00000000" w:rsidRPr="00033B6E" w:rsidP="00033B6E">
            <w:pPr>
              <w:pStyle w:val="ListBullet2"/>
            </w:pPr>
            <w:r w:rsidRPr="00033B6E">
              <w:t>detailed plans</w:t>
            </w:r>
          </w:p>
          <w:p w:rsidR="00000000" w:rsidRPr="00033B6E" w:rsidP="00033B6E">
            <w:pPr>
              <w:pStyle w:val="ListBullet"/>
            </w:pPr>
            <w:r w:rsidRPr="00033B6E">
              <w:t>perform complex calculations and computations in the process of determining compliance as it relates to structural integrity and wind bracing.</w:t>
            </w:r>
          </w:p>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Oral communication skills to:</w:t>
            </w:r>
          </w:p>
        </w:tc>
        <w:tc>
          <w:tcPr>
            <w:tcW w:w="6878"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determine client requirements regarding nature and scope of advice sought, throu</w:t>
            </w:r>
            <w:r w:rsidRPr="00033B6E">
              <w:t>gh open-ended questioning, active listening, paraphrasing and summarising</w:t>
            </w:r>
          </w:p>
          <w:p w:rsidR="00000000" w:rsidRPr="00033B6E" w:rsidP="00033B6E">
            <w:pPr>
              <w:pStyle w:val="ListBullet"/>
            </w:pPr>
            <w:r w:rsidRPr="00033B6E">
              <w:t>understand and use specialised construction industry vocabulary in a variety of situations, for example explanations, descriptions a</w:t>
            </w:r>
            <w:r w:rsidRPr="00033B6E">
              <w:t xml:space="preserve">nd discussions with architects, building designers and specialist personnel. </w:t>
            </w:r>
          </w:p>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Reading skills to:</w:t>
            </w:r>
          </w:p>
        </w:tc>
        <w:tc>
          <w:tcPr>
            <w:tcW w:w="6878"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use different reading strategies to locate specific compliance requirements in a range of resources, including the NCC</w:t>
            </w:r>
          </w:p>
          <w:p w:rsidR="00000000" w:rsidRPr="00033B6E" w:rsidP="00033B6E">
            <w:pPr>
              <w:pStyle w:val="ListBullet"/>
            </w:pPr>
            <w:r w:rsidRPr="00033B6E">
              <w:t>understand technical texts with compl</w:t>
            </w:r>
            <w:r w:rsidRPr="00033B6E">
              <w:t>ex structures, specialised vocabulary, acronyms and diagrams specific to plans and compliance requirements for class 1 and 10 buildings</w:t>
            </w:r>
          </w:p>
          <w:p w:rsidR="00000000" w:rsidRPr="00033B6E" w:rsidP="00033B6E">
            <w:pPr>
              <w:pStyle w:val="ListBullet"/>
            </w:pPr>
            <w:r w:rsidRPr="00033B6E">
              <w:t>monitor own understanding of technical compliance information and apply a range of strategies to ensure correct interpre</w:t>
            </w:r>
            <w:r w:rsidRPr="00033B6E">
              <w:t>tation of compliance requirements, including re-reading or obtaining clarification from another source.</w:t>
            </w:r>
          </w:p>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2256"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Writing skills to:</w:t>
            </w:r>
          </w:p>
        </w:tc>
        <w:tc>
          <w:tcPr>
            <w:tcW w:w="6878"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use accurately-spelled specialised construction industry vocabulary in emails, letters and reports to clients and specialist perso</w:t>
            </w:r>
            <w:r w:rsidRPr="00033B6E">
              <w:t>nnel.</w:t>
            </w:r>
          </w:p>
        </w:tc>
      </w:tr>
    </w:tbl>
    <w:p w:rsidR="00000000" w:rsidRPr="00033B6E" w:rsidP="00033B6E">
      <w:pPr>
        <w:pStyle w:val="BodyText"/>
      </w:pPr>
    </w:p>
    <w:p w:rsidR="00000000" w:rsidRPr="00033B6E" w:rsidP="00033B6E">
      <w:pPr>
        <w:pStyle w:val="AllowPageBreak"/>
      </w:pPr>
    </w:p>
    <w:p w:rsidR="00000000" w:rsidRPr="00033B6E" w:rsidP="00033B6E">
      <w:pPr>
        <w:pStyle w:val="Heading1"/>
      </w:pPr>
      <w:bookmarkStart w:id="8" w:name="O_733879"/>
      <w:bookmarkEnd w:id="8"/>
      <w:r w:rsidRPr="00033B6E">
        <w:t>Range of Conditions</w:t>
      </w:r>
    </w:p>
    <w:tbl>
      <w:tblPr>
        <w:tblW w:w="0" w:type="auto"/>
        <w:tblLayout w:type="fixed"/>
        <w:tblCellMar>
          <w:left w:w="62" w:type="dxa"/>
          <w:right w:w="62" w:type="dxa"/>
        </w:tblCellMar>
        <w:tblLook w:val="0000"/>
      </w:tblPr>
      <w:tblGrid>
        <w:gridCol w:w="2260"/>
        <w:gridCol w:w="6874"/>
      </w:tblGrid>
      <w:tr w:rsidTr="00033B6E">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t xml:space="preserve">This section specifies work environments and conditions that may affect performance. Essential operating conditions that may be present (depending on the work </w:t>
            </w:r>
            <w:r w:rsidRPr="00033B6E">
              <w:t>situation, needs of the candidate, accessibility of the item, and local industry and regional contexts) are included. Bold italicised wording, if used in the performance criteria, is detailed below.</w:t>
            </w:r>
          </w:p>
        </w:tc>
      </w:tr>
      <w:tr w:rsidTr="00033B6E">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rPr>
                <w:rStyle w:val="BoldandItalics"/>
              </w:rPr>
              <w:t xml:space="preserve">Specialist areas of expertise </w:t>
            </w:r>
            <w:r w:rsidRPr="00033B6E">
              <w:t>must include at least thr</w:t>
            </w:r>
            <w:r w:rsidRPr="00033B6E">
              <w:t>ee of the following:</w:t>
            </w:r>
          </w:p>
        </w:tc>
        <w:tc>
          <w:tcPr>
            <w:tcW w:w="6874"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access consultants</w:t>
            </w:r>
          </w:p>
          <w:p w:rsidR="00000000" w:rsidRPr="00033B6E" w:rsidP="00033B6E">
            <w:pPr>
              <w:pStyle w:val="ListBullet"/>
            </w:pPr>
            <w:r w:rsidRPr="00033B6E">
              <w:t>energy efficiency assessors</w:t>
            </w:r>
          </w:p>
          <w:p w:rsidR="00000000" w:rsidRPr="00033B6E" w:rsidP="00033B6E">
            <w:pPr>
              <w:pStyle w:val="ListBullet"/>
            </w:pPr>
            <w:r w:rsidRPr="00033B6E">
              <w:t>fire services engineers</w:t>
            </w:r>
          </w:p>
          <w:p w:rsidR="00000000" w:rsidRPr="00033B6E" w:rsidP="00033B6E">
            <w:pPr>
              <w:pStyle w:val="ListBullet"/>
            </w:pPr>
            <w:r w:rsidRPr="00033B6E">
              <w:t>geotechnical engineers</w:t>
            </w:r>
          </w:p>
          <w:p w:rsidR="00000000" w:rsidRPr="00033B6E" w:rsidP="00033B6E">
            <w:pPr>
              <w:pStyle w:val="ListBullet"/>
            </w:pPr>
            <w:r w:rsidRPr="00033B6E">
              <w:t>heritage consultants</w:t>
            </w:r>
          </w:p>
          <w:p w:rsidR="00000000" w:rsidRPr="00033B6E" w:rsidP="00033B6E">
            <w:pPr>
              <w:pStyle w:val="ListBullet"/>
            </w:pPr>
            <w:r w:rsidRPr="00033B6E">
              <w:t>hydraulic engineers</w:t>
            </w:r>
          </w:p>
          <w:p w:rsidR="00000000" w:rsidRPr="00033B6E" w:rsidP="00033B6E">
            <w:pPr>
              <w:pStyle w:val="ListBullet"/>
            </w:pPr>
            <w:r w:rsidRPr="00033B6E">
              <w:t>mechanical engineers</w:t>
            </w:r>
          </w:p>
          <w:p w:rsidR="00000000" w:rsidRPr="00033B6E" w:rsidP="00033B6E">
            <w:pPr>
              <w:pStyle w:val="ListBullet"/>
            </w:pPr>
            <w:r w:rsidRPr="00033B6E">
              <w:t>structural engineers</w:t>
            </w:r>
          </w:p>
          <w:p w:rsidR="00000000" w:rsidRPr="00033B6E" w:rsidP="00033B6E">
            <w:pPr>
              <w:pStyle w:val="ListBullet"/>
            </w:pPr>
            <w:r w:rsidRPr="00033B6E">
              <w:t>waterproofing specialists.</w:t>
            </w:r>
          </w:p>
          <w:p w:rsidR="00000000" w:rsidP="00033B6E">
            <w:pPr>
              <w:pStyle w:val="BodyText"/>
              <w:rPr>
                <w:lang w:val="en-NZ"/>
              </w:rPr>
            </w:pPr>
          </w:p>
        </w:tc>
      </w:tr>
      <w:tr w:rsidTr="00033B6E">
        <w:tblPrEx>
          <w:tblW w:w="0" w:type="auto"/>
          <w:tblLayout w:type="fixed"/>
          <w:tblCellMar>
            <w:left w:w="62" w:type="dxa"/>
            <w:right w:w="62" w:type="dxa"/>
          </w:tblCellMar>
          <w:tblLook w:val="0000"/>
        </w:tblPrEx>
        <w:tc>
          <w:tcPr>
            <w:tcW w:w="2260" w:type="dxa"/>
            <w:tcBorders>
              <w:top w:val="nil"/>
              <w:left w:val="nil"/>
              <w:bottom w:val="nil"/>
              <w:right w:val="nil"/>
            </w:tcBorders>
            <w:tcMar>
              <w:top w:w="0" w:type="dxa"/>
              <w:left w:w="62" w:type="dxa"/>
              <w:bottom w:w="0" w:type="dxa"/>
              <w:right w:w="62" w:type="dxa"/>
            </w:tcMar>
          </w:tcPr>
          <w:p w:rsidR="00000000" w:rsidP="00033B6E">
            <w:pPr>
              <w:pStyle w:val="BodyText"/>
              <w:rPr>
                <w:lang w:val="en-NZ"/>
              </w:rPr>
            </w:pPr>
            <w:r w:rsidRPr="00033B6E">
              <w:rPr>
                <w:rStyle w:val="BoldandItalics"/>
              </w:rPr>
              <w:t>Solutions to compliance issues</w:t>
            </w:r>
            <w:r w:rsidRPr="00033B6E">
              <w:t xml:space="preserve"> must include:</w:t>
            </w:r>
          </w:p>
        </w:tc>
        <w:tc>
          <w:tcPr>
            <w:tcW w:w="6874" w:type="dxa"/>
            <w:tcBorders>
              <w:top w:val="nil"/>
              <w:left w:val="nil"/>
              <w:bottom w:val="nil"/>
              <w:right w:val="nil"/>
            </w:tcBorders>
            <w:tcMar>
              <w:top w:w="0" w:type="dxa"/>
              <w:left w:w="62" w:type="dxa"/>
              <w:bottom w:w="0" w:type="dxa"/>
              <w:right w:w="62" w:type="dxa"/>
            </w:tcMar>
          </w:tcPr>
          <w:p w:rsidR="00000000" w:rsidRPr="00033B6E" w:rsidP="00033B6E">
            <w:pPr>
              <w:pStyle w:val="ListBullet"/>
            </w:pPr>
            <w:r w:rsidRPr="00033B6E">
              <w:t>alternative solutions that meet the performance requirements of the NCC</w:t>
            </w:r>
          </w:p>
          <w:p w:rsidR="00000000" w:rsidRPr="00033B6E" w:rsidP="00033B6E">
            <w:pPr>
              <w:pStyle w:val="ListBullet"/>
            </w:pPr>
            <w:r w:rsidRPr="00033B6E">
              <w:t>deemed-to-satisfy NCC solutions</w:t>
            </w:r>
          </w:p>
          <w:p w:rsidR="00000000" w:rsidRPr="00033B6E" w:rsidP="00033B6E">
            <w:pPr>
              <w:pStyle w:val="ListBullet"/>
            </w:pPr>
            <w:r w:rsidRPr="00033B6E">
              <w:t>solutions that meet the requirements of:</w:t>
            </w:r>
          </w:p>
          <w:p w:rsidR="00000000" w:rsidRPr="00033B6E" w:rsidP="00033B6E">
            <w:pPr>
              <w:pStyle w:val="ListBullet2"/>
            </w:pPr>
            <w:r w:rsidRPr="00033B6E">
              <w:t>insurers</w:t>
            </w:r>
          </w:p>
          <w:p w:rsidR="00000000" w:rsidRPr="00033B6E" w:rsidP="00033B6E">
            <w:pPr>
              <w:pStyle w:val="ListBullet2"/>
            </w:pPr>
            <w:r w:rsidRPr="00033B6E">
              <w:t>state or territory and local government legislation and regulations</w:t>
            </w:r>
          </w:p>
          <w:p w:rsidR="00000000" w:rsidRPr="00033B6E" w:rsidP="00033B6E">
            <w:pPr>
              <w:pStyle w:val="ListBullet2"/>
            </w:pPr>
            <w:r w:rsidRPr="00033B6E">
              <w:t>statutory authorities governing:</w:t>
            </w:r>
          </w:p>
          <w:p w:rsidR="00000000" w:rsidRPr="00033B6E" w:rsidP="00033B6E">
            <w:pPr>
              <w:pStyle w:val="ListBullet3"/>
            </w:pPr>
            <w:r w:rsidRPr="00033B6E">
              <w:t>environment</w:t>
            </w:r>
          </w:p>
          <w:p w:rsidR="00000000" w:rsidRPr="00033B6E" w:rsidP="00033B6E">
            <w:pPr>
              <w:pStyle w:val="ListBullet3"/>
            </w:pPr>
            <w:r w:rsidRPr="00033B6E">
              <w:t>fire protection</w:t>
            </w:r>
          </w:p>
          <w:p w:rsidR="00000000" w:rsidRPr="00033B6E" w:rsidP="00033B6E">
            <w:pPr>
              <w:pStyle w:val="ListBullet3"/>
            </w:pPr>
            <w:r w:rsidRPr="00033B6E">
              <w:t>services.</w:t>
            </w:r>
          </w:p>
        </w:tc>
      </w:tr>
    </w:tbl>
    <w:p w:rsidR="00000000" w:rsidRPr="00033B6E" w:rsidP="00033B6E">
      <w:pPr>
        <w:pStyle w:val="BodyText"/>
      </w:pPr>
    </w:p>
    <w:p w:rsidR="00000000" w:rsidRPr="00033B6E" w:rsidP="00033B6E">
      <w:pPr>
        <w:pStyle w:val="AllowPageBreak"/>
      </w:pPr>
    </w:p>
    <w:p w:rsidR="00000000" w:rsidRPr="00033B6E" w:rsidP="00033B6E">
      <w:pPr>
        <w:pStyle w:val="Heading1"/>
      </w:pPr>
      <w:bookmarkStart w:id="9" w:name="O_733878"/>
      <w:bookmarkEnd w:id="9"/>
      <w:r w:rsidRPr="00033B6E">
        <w:t>Unit Mapping Information</w:t>
      </w:r>
    </w:p>
    <w:p w:rsidR="00000000" w:rsidRPr="00033B6E" w:rsidP="00EA0AFC">
      <w:pPr>
        <w:pStyle w:val="BodyText"/>
      </w:pPr>
      <w:r w:rsidRPr="00033B6E">
        <w:t>No equivalent unit.</w:t>
      </w:r>
    </w:p>
    <w:p w:rsidR="00000000" w:rsidRPr="00033B6E" w:rsidP="00033B6E">
      <w:pPr>
        <w:pStyle w:val="Heading1"/>
      </w:pPr>
      <w:bookmarkStart w:id="10" w:name="O_733871"/>
      <w:bookmarkEnd w:id="10"/>
      <w:r w:rsidRPr="00033B6E">
        <w:t>Links</w:t>
      </w:r>
    </w:p>
    <w:p w:rsidR="00000000" w:rsidRPr="00033B6E" w:rsidP="00EA0AFC">
      <w:pPr>
        <w:pStyle w:val="BodyText"/>
      </w:pPr>
      <w:r w:rsidRPr="00033B6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654F6">
        <w:rPr>
          <w:rStyle w:val="Hyperlink"/>
        </w:rPr>
        <w:t>https://vetnet.gov.au/Pages/TrainingDocs.aspx?q=7e15fa6a-68b8-4097-b099-030a5569b1ad</w:t>
      </w:r>
      <w:r>
        <w:fldChar w:fldCharType="end"/>
      </w:r>
    </w:p>
    <w:p w:rsidR="00000000" w:rsidRPr="00033B6E" w:rsidP="00EA0AFC">
      <w:pPr>
        <w:pStyle w:val="BodyText"/>
        <w:sectPr w:rsidSect="00033B6E">
          <w:headerReference w:type="default" r:id="rId10"/>
          <w:footerReference w:type="default" r:id="rId11"/>
          <w:pgSz w:w="11908" w:h="16833"/>
          <w:pgMar w:top="1702" w:right="1418" w:bottom="1702" w:left="1418" w:header="992" w:footer="992" w:gutter="0"/>
          <w:cols w:space="720"/>
          <w:noEndnote/>
          <w:docGrid w:linePitch="299"/>
        </w:sectPr>
      </w:pPr>
    </w:p>
    <w:p w:rsidR="00000000" w:rsidRPr="00033B6E" w:rsidP="00033B6E">
      <w:pPr>
        <w:pStyle w:val="SuperHeading"/>
      </w:pPr>
      <w:r w:rsidRPr="00033B6E">
        <w:t xml:space="preserve">Assessment </w:t>
      </w:r>
      <w:r w:rsidRPr="00033B6E">
        <w:t>Requirements for CPCCBS6004 Assess and advise on compliance of design documentation for residential buildings to three storeys</w:t>
      </w:r>
    </w:p>
    <w:p w:rsidR="00000000" w:rsidRPr="00033B6E" w:rsidP="00033B6E">
      <w:pPr>
        <w:pStyle w:val="Heading1"/>
      </w:pPr>
      <w:bookmarkStart w:id="11" w:name="O_733873"/>
      <w:bookmarkEnd w:id="11"/>
      <w:r w:rsidRPr="00033B6E">
        <w:t>Modification History</w:t>
      </w:r>
    </w:p>
    <w:p w:rsidR="00000000" w:rsidRPr="00033B6E" w:rsidP="00EA0AFC">
      <w:pPr>
        <w:pStyle w:val="BodyText"/>
      </w:pPr>
      <w:r w:rsidRPr="00033B6E">
        <w:t xml:space="preserve">Release 1. </w:t>
      </w:r>
    </w:p>
    <w:p w:rsidR="00000000" w:rsidRPr="00033B6E" w:rsidP="00EA0AFC">
      <w:pPr>
        <w:pStyle w:val="BodyText"/>
      </w:pPr>
      <w:r w:rsidRPr="00033B6E">
        <w:t>This version first released with CPC Construction, Plumbing and Services Traini</w:t>
      </w:r>
      <w:r w:rsidRPr="00033B6E">
        <w:t>ng Package Version 1.</w:t>
      </w:r>
    </w:p>
    <w:p w:rsidR="00000000" w:rsidRPr="00033B6E" w:rsidP="00033B6E">
      <w:pPr>
        <w:pStyle w:val="Heading1"/>
      </w:pPr>
      <w:bookmarkStart w:id="12" w:name="O_733876"/>
      <w:bookmarkEnd w:id="12"/>
      <w:r w:rsidRPr="00033B6E">
        <w:t>Performance Evidence</w:t>
      </w:r>
    </w:p>
    <w:p w:rsidR="00000000" w:rsidRPr="00033B6E" w:rsidP="00EA0AFC">
      <w:pPr>
        <w:pStyle w:val="BodyText"/>
      </w:pPr>
      <w:r w:rsidRPr="00033B6E">
        <w:t>A person demonstrating competency in this unit must satisfy all of the elements, performance criteria and foundation skills of this unit. The person must:</w:t>
      </w:r>
    </w:p>
    <w:p w:rsidR="00000000" w:rsidRPr="00033B6E" w:rsidP="00033B6E">
      <w:pPr>
        <w:pStyle w:val="ListBullet"/>
      </w:pPr>
      <w:r w:rsidRPr="00033B6E">
        <w:t>determine and confirm service level agre</w:t>
      </w:r>
      <w:r w:rsidRPr="00033B6E">
        <w:t>ements with clients for four different projects involving the following class 1 and 10 buildings and structures as defined in the Building Code of Australia (BCA):</w:t>
      </w:r>
    </w:p>
    <w:p w:rsidR="00000000" w:rsidRPr="00033B6E" w:rsidP="00033B6E">
      <w:pPr>
        <w:pStyle w:val="ListBullet2"/>
      </w:pPr>
      <w:r w:rsidRPr="00033B6E">
        <w:t>two types of class 1a buildings in different locations</w:t>
      </w:r>
    </w:p>
    <w:p w:rsidR="00000000" w:rsidRPr="00033B6E" w:rsidP="00033B6E">
      <w:pPr>
        <w:pStyle w:val="ListBullet2"/>
      </w:pPr>
      <w:r w:rsidRPr="00033B6E">
        <w:t>one class 1b building</w:t>
      </w:r>
    </w:p>
    <w:p w:rsidR="00000000" w:rsidRPr="00033B6E" w:rsidP="00033B6E">
      <w:pPr>
        <w:pStyle w:val="ListBullet2"/>
      </w:pPr>
      <w:r w:rsidRPr="00033B6E">
        <w:t xml:space="preserve">one class </w:t>
      </w:r>
      <w:r w:rsidRPr="00033B6E">
        <w:t>10 building or structure: one bushfire shelter, swimming pool or retaining wall</w:t>
      </w:r>
    </w:p>
    <w:p w:rsidR="00000000" w:rsidRPr="00033B6E" w:rsidP="00033B6E">
      <w:pPr>
        <w:pStyle w:val="ListBullet"/>
      </w:pPr>
      <w:r w:rsidRPr="00033B6E">
        <w:t>liaise with specialist experts to ensure timely provision of advice within terms of service level agreement</w:t>
      </w:r>
    </w:p>
    <w:p w:rsidR="00000000" w:rsidRPr="00033B6E" w:rsidP="00033B6E">
      <w:pPr>
        <w:pStyle w:val="ListBullet"/>
      </w:pPr>
      <w:r w:rsidRPr="00033B6E">
        <w:t>determine compliance requirements for the four different projects a</w:t>
      </w:r>
      <w:r w:rsidRPr="00033B6E">
        <w:t>nd provide advice to clients on how compliance requirements apply to each project</w:t>
      </w:r>
    </w:p>
    <w:p w:rsidR="00000000" w:rsidRPr="00033B6E" w:rsidP="00033B6E">
      <w:pPr>
        <w:pStyle w:val="ListBullet"/>
      </w:pPr>
      <w:r w:rsidRPr="00033B6E">
        <w:t>advise clients of the documentation required for planning and building permit applications for the four projects</w:t>
      </w:r>
    </w:p>
    <w:p w:rsidR="00000000" w:rsidRPr="00033B6E" w:rsidP="00033B6E">
      <w:pPr>
        <w:pStyle w:val="ListBullet"/>
      </w:pPr>
      <w:r w:rsidRPr="00033B6E">
        <w:t>analyse complete sets of building design documentation for tw</w:t>
      </w:r>
      <w:r w:rsidRPr="00033B6E">
        <w:t>o planning and two building approval applications relating to the four projects and:</w:t>
      </w:r>
    </w:p>
    <w:p w:rsidR="00000000" w:rsidRPr="00033B6E" w:rsidP="00033B6E">
      <w:pPr>
        <w:pStyle w:val="ListBullet2"/>
      </w:pPr>
      <w:r w:rsidRPr="00033B6E">
        <w:t>provide advice on two cost-effective and efficient design alternatives that meet compliance requirements</w:t>
      </w:r>
    </w:p>
    <w:p w:rsidR="00000000" w:rsidRPr="00033B6E" w:rsidP="00033B6E">
      <w:pPr>
        <w:pStyle w:val="ListBullet2"/>
      </w:pPr>
      <w:r w:rsidRPr="00033B6E">
        <w:t xml:space="preserve">provide written advice on the compliance of design documentation </w:t>
      </w:r>
      <w:r w:rsidRPr="00033B6E">
        <w:t>with the requirements of building and planning legislation, regulations, codes and standards applicable to the project location, including possible solutions to compliance issues</w:t>
      </w:r>
    </w:p>
    <w:p w:rsidR="00000000" w:rsidRPr="00033B6E" w:rsidP="00033B6E">
      <w:pPr>
        <w:pStyle w:val="ListBullet2"/>
      </w:pPr>
      <w:r w:rsidRPr="00033B6E">
        <w:t>invite questions from clients regarding compliance advice and explain require</w:t>
      </w:r>
      <w:r w:rsidRPr="00033B6E">
        <w:t>ments in detail</w:t>
      </w:r>
    </w:p>
    <w:p w:rsidR="00000000" w:rsidRPr="00033B6E" w:rsidP="00033B6E">
      <w:pPr>
        <w:pStyle w:val="ListBullet"/>
      </w:pPr>
      <w:r w:rsidRPr="00033B6E">
        <w:t>provide responses to six different requests from clients for specific information regarding different types of compliance issues.</w:t>
      </w:r>
    </w:p>
    <w:p w:rsidR="00000000" w:rsidRPr="00033B6E" w:rsidP="00033B6E">
      <w:pPr>
        <w:pStyle w:val="AllowPageBreak"/>
      </w:pPr>
    </w:p>
    <w:p w:rsidR="00000000" w:rsidRPr="00033B6E" w:rsidP="00033B6E">
      <w:pPr>
        <w:pStyle w:val="Heading1"/>
      </w:pPr>
      <w:bookmarkStart w:id="13" w:name="O_733875"/>
      <w:bookmarkEnd w:id="13"/>
      <w:r w:rsidRPr="00033B6E">
        <w:t>Knowledge Evidence</w:t>
      </w:r>
    </w:p>
    <w:p w:rsidR="00000000" w:rsidRPr="00033B6E" w:rsidP="00EA0AFC">
      <w:pPr>
        <w:pStyle w:val="BodyText"/>
      </w:pPr>
      <w:r w:rsidRPr="00033B6E">
        <w:t>A person demonstrating competency in this unit must demonstrate knowledge</w:t>
      </w:r>
      <w:r w:rsidRPr="00033B6E">
        <w:t xml:space="preserve"> of:</w:t>
      </w:r>
    </w:p>
    <w:p w:rsidR="00000000" w:rsidRPr="00033B6E" w:rsidP="00033B6E">
      <w:pPr>
        <w:pStyle w:val="ListBullet"/>
      </w:pPr>
      <w:r w:rsidRPr="00033B6E">
        <w:t>BCA classification and definitions for class 1 and 10 buildings and structures</w:t>
      </w:r>
    </w:p>
    <w:p w:rsidR="00000000" w:rsidRPr="00033B6E" w:rsidP="00033B6E">
      <w:pPr>
        <w:pStyle w:val="ListBullet"/>
      </w:pPr>
      <w:r w:rsidRPr="00033B6E">
        <w:t>construction methods and materials suitable for class 1 and 10 buildings and structures</w:t>
      </w:r>
    </w:p>
    <w:p w:rsidR="00000000" w:rsidRPr="00033B6E" w:rsidP="00033B6E">
      <w:pPr>
        <w:pStyle w:val="ListBullet"/>
      </w:pPr>
      <w:r w:rsidRPr="00033B6E">
        <w:t>regulatory constraints that govern the relationship betwe</w:t>
      </w:r>
      <w:r w:rsidRPr="00033B6E">
        <w:t>en the advisory and statutory roles of building surveyors</w:t>
      </w:r>
    </w:p>
    <w:p w:rsidR="00000000" w:rsidRPr="00033B6E" w:rsidP="00033B6E">
      <w:pPr>
        <w:pStyle w:val="ListBullet"/>
      </w:pPr>
      <w:r w:rsidRPr="00033B6E">
        <w:t>drawing symbols, notations, acronyms and construction terminology used in the National Construction Code (NCC), Australian standards, working drawings, building design specifications, and building p</w:t>
      </w:r>
      <w:r w:rsidRPr="00033B6E">
        <w:t>ermit documentation</w:t>
      </w:r>
    </w:p>
    <w:p w:rsidR="00000000" w:rsidRPr="00033B6E" w:rsidP="00033B6E">
      <w:pPr>
        <w:pStyle w:val="ListBullet"/>
      </w:pPr>
      <w:r w:rsidRPr="00033B6E">
        <w:t>project management strategies that ensure thorough and timely advice is delivered according to service level agreement</w:t>
      </w:r>
    </w:p>
    <w:p w:rsidR="00000000" w:rsidRPr="00033B6E" w:rsidP="00033B6E">
      <w:pPr>
        <w:pStyle w:val="ListBullet"/>
      </w:pPr>
      <w:r w:rsidRPr="00033B6E">
        <w:t xml:space="preserve">range of, and variations in, compliance requirements for class 1 and 10 buildings and structures in different </w:t>
      </w:r>
      <w:r w:rsidRPr="00033B6E">
        <w:t>climati</w:t>
      </w:r>
      <w:r w:rsidRPr="00033B6E">
        <w:t>c, geographic and planning zones, including:</w:t>
      </w:r>
    </w:p>
    <w:p w:rsidR="00000000" w:rsidRPr="00033B6E" w:rsidP="00033B6E">
      <w:pPr>
        <w:pStyle w:val="ListBullet2"/>
      </w:pPr>
      <w:r w:rsidRPr="00033B6E">
        <w:t>building control legislation and regulations</w:t>
      </w:r>
    </w:p>
    <w:p w:rsidR="00000000" w:rsidRPr="00033B6E" w:rsidP="00033B6E">
      <w:pPr>
        <w:pStyle w:val="ListBullet2"/>
      </w:pPr>
      <w:r w:rsidRPr="00033B6E">
        <w:t>NCC</w:t>
      </w:r>
    </w:p>
    <w:p w:rsidR="00000000" w:rsidRPr="00033B6E" w:rsidP="00033B6E">
      <w:pPr>
        <w:pStyle w:val="ListBullet2"/>
      </w:pPr>
      <w:r w:rsidRPr="00033B6E">
        <w:t>Australian standards referenced by building control legislation and regulations and the NCC</w:t>
      </w:r>
    </w:p>
    <w:p w:rsidR="00000000" w:rsidRPr="00033B6E" w:rsidP="00033B6E">
      <w:pPr>
        <w:pStyle w:val="ListBullet2"/>
      </w:pPr>
      <w:r w:rsidRPr="00033B6E">
        <w:t>state, territory or local authority planning policies.</w:t>
      </w:r>
    </w:p>
    <w:p w:rsidR="00000000" w:rsidRPr="00033B6E" w:rsidP="00033B6E">
      <w:pPr>
        <w:pStyle w:val="AllowPageBreak"/>
      </w:pPr>
    </w:p>
    <w:p w:rsidR="00000000" w:rsidRPr="00033B6E" w:rsidP="00033B6E">
      <w:pPr>
        <w:pStyle w:val="Heading1"/>
      </w:pPr>
      <w:bookmarkStart w:id="14" w:name="O_733874"/>
      <w:bookmarkEnd w:id="14"/>
      <w:r w:rsidRPr="00033B6E">
        <w:t>Assessment Conditions</w:t>
      </w:r>
    </w:p>
    <w:p w:rsidR="00000000" w:rsidRPr="00033B6E" w:rsidP="00EA0AFC">
      <w:pPr>
        <w:pStyle w:val="BodyText"/>
      </w:pPr>
      <w:r w:rsidRPr="00033B6E">
        <w:t>Suitable assessment of performance requires:</w:t>
      </w:r>
    </w:p>
    <w:p w:rsidR="00000000" w:rsidRPr="00033B6E" w:rsidP="00033B6E">
      <w:pPr>
        <w:pStyle w:val="ListBullet"/>
      </w:pPr>
      <w:r w:rsidRPr="00033B6E">
        <w:t>equipment:</w:t>
      </w:r>
    </w:p>
    <w:p w:rsidR="00000000" w:rsidRPr="00033B6E" w:rsidP="00033B6E">
      <w:pPr>
        <w:pStyle w:val="ListBullet2"/>
      </w:pPr>
      <w:r w:rsidRPr="00033B6E">
        <w:t>computer with internet access and business software currently in use in building surveying practices</w:t>
      </w:r>
    </w:p>
    <w:p w:rsidR="00000000" w:rsidRPr="00033B6E" w:rsidP="00033B6E">
      <w:pPr>
        <w:pStyle w:val="ListBullet"/>
      </w:pPr>
      <w:r w:rsidRPr="00033B6E">
        <w:t>materials:</w:t>
      </w:r>
    </w:p>
    <w:p w:rsidR="00000000" w:rsidRPr="00033B6E" w:rsidP="00033B6E">
      <w:pPr>
        <w:pStyle w:val="ListBullet2"/>
      </w:pPr>
      <w:r w:rsidRPr="00033B6E">
        <w:t>documentation for the four projects specified in the performance evidence, including documentation for two planning and two building permit applications</w:t>
      </w:r>
    </w:p>
    <w:p w:rsidR="00000000" w:rsidRPr="00033B6E" w:rsidP="00033B6E">
      <w:pPr>
        <w:pStyle w:val="ListBullet"/>
      </w:pPr>
      <w:r w:rsidRPr="00033B6E">
        <w:t>specifications:</w:t>
      </w:r>
    </w:p>
    <w:p w:rsidR="00000000" w:rsidRPr="00033B6E" w:rsidP="00033B6E">
      <w:pPr>
        <w:pStyle w:val="ListBullet2"/>
      </w:pPr>
      <w:r w:rsidRPr="00033B6E">
        <w:t>access to relevant and current building control legislation, regulations, codes and s</w:t>
      </w:r>
      <w:r w:rsidRPr="00033B6E">
        <w:t xml:space="preserve">tandards and state, territory or local authority planning policies. </w:t>
      </w:r>
    </w:p>
    <w:p w:rsidR="00000000" w:rsidRPr="00033B6E" w:rsidP="00033B6E">
      <w:pPr>
        <w:pStyle w:val="BodyText"/>
      </w:pPr>
    </w:p>
    <w:p w:rsidR="00000000" w:rsidRPr="00033B6E" w:rsidP="00EA0AFC">
      <w:pPr>
        <w:pStyle w:val="Heading3"/>
      </w:pPr>
      <w:r w:rsidRPr="00033B6E">
        <w:rPr>
          <w:rStyle w:val="SpecialBold"/>
        </w:rPr>
        <w:t>Assessor requirements</w:t>
      </w:r>
    </w:p>
    <w:p w:rsidR="00000000" w:rsidRPr="00033B6E" w:rsidP="00EA0AFC">
      <w:pPr>
        <w:pStyle w:val="BodyText"/>
      </w:pPr>
      <w:r w:rsidRPr="00033B6E">
        <w:t>Assessors must satisfy the assessor requirements in the Standards for Registered Training Organisations (RTOs) current at the time of assessment.</w:t>
      </w:r>
    </w:p>
    <w:p w:rsidR="00000000" w:rsidRPr="00033B6E" w:rsidP="00EA0AFC">
      <w:pPr>
        <w:pStyle w:val="BodyText"/>
      </w:pPr>
      <w:r w:rsidRPr="00033B6E">
        <w:t>In addition, asse</w:t>
      </w:r>
      <w:r w:rsidRPr="00033B6E">
        <w:t>ssors must also demonstrate current membership of a relevant industry association and have current registration on the National Building Professionals Register in the Building Industry Control category (level 1) or be accredited under the Australian Instit</w:t>
      </w:r>
      <w:r w:rsidRPr="00033B6E">
        <w:t>ute of Building Surveyors (AIBS) National Accreditation Scheme at Building Surveyor level.</w:t>
      </w:r>
    </w:p>
    <w:p w:rsidR="00000000" w:rsidRPr="00033B6E" w:rsidP="00033B6E">
      <w:pPr>
        <w:pStyle w:val="Heading1"/>
      </w:pPr>
      <w:bookmarkStart w:id="15" w:name="O_733872"/>
      <w:bookmarkEnd w:id="15"/>
      <w:r w:rsidRPr="00033B6E">
        <w:t>Links</w:t>
      </w:r>
    </w:p>
    <w:p w:rsidR="00000000" w:rsidRPr="00033B6E" w:rsidP="00EA0AFC">
      <w:pPr>
        <w:pStyle w:val="BodyText"/>
      </w:pPr>
      <w:r w:rsidRPr="00033B6E">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4654F6">
        <w:rPr>
          <w:rStyle w:val="Hyperlink"/>
        </w:rPr>
        <w:t>https://vetnet.gov.au/Pages/TrainingDocs.aspx?q=7e15fa6a-68b8-4097-b099-030a5569b1ad</w:t>
      </w:r>
      <w:r>
        <w:fldChar w:fldCharType="end"/>
      </w:r>
    </w:p>
    <w:p w:rsidR="00000000" w:rsidRPr="00033B6E" w:rsidP="00033B6E"/>
    <w:sectPr w:rsidSect="00033B6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rsidRPr="00EA0AFC" w:rsidP="00EA0A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C" w:rsidP="00033B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A0AFC" w:rsidP="00033B6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EA0AFC" w:rsidP="00033B6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rsidP="00033B6E">
    <w:pPr>
      <w:pStyle w:val="Footer"/>
      <w:framePr w:wrap="around"/>
    </w:pPr>
    <w:r>
      <w:fldChar w:fldCharType="begin"/>
    </w:r>
    <w:r>
      <w:instrText xml:space="preserve"> DOCPROPERTY  Subject  \* MERGEFORMAT </w:instrText>
    </w:r>
    <w:r>
      <w:fldChar w:fldCharType="separate"/>
    </w:r>
    <w:r w:rsidR="00EA0AFC">
      <w:t>Approved</w:t>
    </w:r>
    <w:r w:rsidR="00EA0AFC">
      <w:fldChar w:fldCharType="end"/>
    </w:r>
    <w:r>
      <w:tab/>
      <w:t xml:space="preserve">Page </w:t>
    </w:r>
    <w:r>
      <w:fldChar w:fldCharType="begin"/>
    </w:r>
    <w:r>
      <w:instrText xml:space="preserve"> PAGE  \* Arabic  \* MERGEFORMAT </w:instrText>
    </w:r>
    <w:r>
      <w:fldChar w:fldCharType="separate"/>
    </w:r>
    <w:r w:rsidR="00EA0AFC">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0AFC">
      <w:rPr>
        <w:noProof/>
      </w:rPr>
      <w:t>6</w:t>
    </w:r>
    <w:r>
      <w:rPr>
        <w:noProof/>
      </w:rPr>
      <w:fldChar w:fldCharType="end"/>
    </w:r>
  </w:p>
  <w:p w:rsidR="00033B6E" w:rsidP="00033B6E">
    <w:pPr>
      <w:pStyle w:val="Footer"/>
      <w:framePr w:wrap="around"/>
    </w:pPr>
    <w:r>
      <w:t xml:space="preserve">© Commonwealth of Australia, </w:t>
    </w:r>
    <w:r>
      <w:fldChar w:fldCharType="begin"/>
    </w:r>
    <w:r>
      <w:instrText xml:space="preserve"> DATE  \@ "yyyy"  \* MERGEFORMAT </w:instrText>
    </w:r>
    <w:r>
      <w:fldChar w:fldCharType="separate"/>
    </w:r>
    <w:r w:rsidR="00EA0AFC">
      <w:rPr>
        <w:noProof/>
      </w:rPr>
      <w:t>2025</w:t>
    </w:r>
    <w:r>
      <w:fldChar w:fldCharType="end"/>
    </w:r>
    <w:r>
      <w:tab/>
    </w:r>
    <w:r>
      <w:fldChar w:fldCharType="begin"/>
    </w:r>
    <w:r>
      <w:instrText xml:space="preserve"> DOCPROPERTY  Author  \* MERGEFORMAT </w:instrText>
    </w:r>
    <w:r>
      <w:fldChar w:fldCharType="separate"/>
    </w:r>
    <w:r w:rsidR="00EA0AFC">
      <w:t>BuildSkills Australia</w:t>
    </w:r>
    <w:r w:rsidR="00EA0AFC">
      <w:fldChar w:fldCharType="end"/>
    </w:r>
  </w:p>
  <w:p w:rsidR="00033B6E" w:rsidP="00033B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33B6E" w:rsidRPr="00EA0AFC" w:rsidP="00EA0A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0AFC" w:rsidRPr="002D2AF8" w:rsidP="00033B6E">
    <w:pPr>
      <w:pStyle w:val="Header"/>
      <w:framePr w:wrap="around"/>
    </w:pPr>
    <w:r>
      <w:fldChar w:fldCharType="begin"/>
    </w:r>
    <w:r>
      <w:instrText xml:space="preserve"> TITLE   \* MERGEFORMAT </w:instrText>
    </w:r>
    <w:r>
      <w:fldChar w:fldCharType="separate"/>
    </w:r>
    <w:r>
      <w:t>CPCCBS6004 Assess and advise on compliance of design documentation for residential buildings to three storeys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A0AFC" w:rsidP="00033B6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3B6E" w:rsidRPr="002D2AF8" w:rsidP="00033B6E">
    <w:pPr>
      <w:pStyle w:val="Header"/>
      <w:framePr w:wrap="around"/>
    </w:pPr>
    <w:r>
      <w:fldChar w:fldCharType="begin"/>
    </w:r>
    <w:r>
      <w:instrText xml:space="preserve"> TITLE   \* MERGEFORMAT </w:instrText>
    </w:r>
    <w:r>
      <w:fldChar w:fldCharType="separate"/>
    </w:r>
    <w:r w:rsidR="00EA0AFC">
      <w:t>CPCCBS6004 Assess and advise on compliance of design documentation for residential buildings to three storeys</w:t>
    </w:r>
    <w:r w:rsidR="00EA0AFC">
      <w:fldChar w:fldCharType="end"/>
    </w:r>
    <w:r>
      <w:tab/>
      <w:t xml:space="preserve">Date this document was generated: </w:t>
    </w:r>
    <w:r>
      <w:fldChar w:fldCharType="begin"/>
    </w:r>
    <w:r>
      <w:instrText xml:space="preserve"> CREATEDATE  \@ "d MMMM yyyy"  \* MERGEFORMAT </w:instrText>
    </w:r>
    <w:r>
      <w:fldChar w:fldCharType="separate"/>
    </w:r>
    <w:r w:rsidR="00EA0AFC">
      <w:rPr>
        <w:noProof/>
      </w:rPr>
      <w:t>2 March 2025</w:t>
    </w:r>
    <w:r>
      <w:fldChar w:fldCharType="end"/>
    </w:r>
  </w:p>
  <w:p w:rsidR="00033B6E" w:rsidP="00033B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B5E33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3477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50607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B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33B6E"/>
    <w:pPr>
      <w:spacing w:before="360" w:after="60"/>
      <w:outlineLvl w:val="0"/>
    </w:pPr>
    <w:rPr>
      <w:sz w:val="32"/>
    </w:rPr>
  </w:style>
  <w:style w:type="paragraph" w:styleId="Heading2">
    <w:name w:val="heading 2"/>
    <w:basedOn w:val="HeadingBase"/>
    <w:next w:val="BodyText"/>
    <w:link w:val="Heading2Char"/>
    <w:qFormat/>
    <w:rsid w:val="00033B6E"/>
    <w:pPr>
      <w:keepLines/>
      <w:spacing w:before="240" w:after="120"/>
      <w:outlineLvl w:val="1"/>
    </w:pPr>
    <w:rPr>
      <w:sz w:val="28"/>
      <w:szCs w:val="40"/>
    </w:rPr>
  </w:style>
  <w:style w:type="paragraph" w:styleId="Heading3">
    <w:name w:val="heading 3"/>
    <w:basedOn w:val="HeadingBase"/>
    <w:next w:val="BodyText"/>
    <w:link w:val="Heading3Char"/>
    <w:qFormat/>
    <w:rsid w:val="00033B6E"/>
    <w:pPr>
      <w:spacing w:before="180" w:after="120"/>
      <w:outlineLvl w:val="2"/>
    </w:pPr>
    <w:rPr>
      <w:spacing w:val="-10"/>
      <w:kern w:val="32"/>
    </w:rPr>
  </w:style>
  <w:style w:type="paragraph" w:styleId="Heading4">
    <w:name w:val="heading 4"/>
    <w:basedOn w:val="HeadingBase"/>
    <w:next w:val="BodyText"/>
    <w:link w:val="Heading4Char"/>
    <w:qFormat/>
    <w:rsid w:val="00033B6E"/>
    <w:pPr>
      <w:spacing w:before="160" w:after="120"/>
      <w:outlineLvl w:val="3"/>
    </w:pPr>
    <w:rPr>
      <w:sz w:val="22"/>
    </w:rPr>
  </w:style>
  <w:style w:type="paragraph" w:styleId="Heading5">
    <w:name w:val="heading 5"/>
    <w:basedOn w:val="HeadingBase"/>
    <w:next w:val="Normal"/>
    <w:link w:val="Heading5Char"/>
    <w:qFormat/>
    <w:rsid w:val="00033B6E"/>
    <w:pPr>
      <w:spacing w:before="80"/>
      <w:outlineLvl w:val="4"/>
    </w:pPr>
    <w:rPr>
      <w:color w:val="918585"/>
      <w:sz w:val="20"/>
    </w:rPr>
  </w:style>
  <w:style w:type="paragraph" w:styleId="Heading6">
    <w:name w:val="heading 6"/>
    <w:basedOn w:val="HeadingBase"/>
    <w:next w:val="Normal"/>
    <w:link w:val="Heading6Char"/>
    <w:qFormat/>
    <w:rsid w:val="00033B6E"/>
    <w:pPr>
      <w:spacing w:before="60"/>
      <w:outlineLvl w:val="5"/>
    </w:pPr>
    <w:rPr>
      <w:color w:val="918585"/>
      <w:sz w:val="20"/>
    </w:rPr>
  </w:style>
  <w:style w:type="paragraph" w:styleId="Heading7">
    <w:name w:val="heading 7"/>
    <w:basedOn w:val="Normal"/>
    <w:next w:val="Normal"/>
    <w:link w:val="Heading7Char"/>
    <w:qFormat/>
    <w:rsid w:val="00033B6E"/>
    <w:pPr>
      <w:ind w:left="720"/>
      <w:outlineLvl w:val="6"/>
    </w:pPr>
    <w:rPr>
      <w:i/>
    </w:rPr>
  </w:style>
  <w:style w:type="paragraph" w:styleId="Heading8">
    <w:name w:val="heading 8"/>
    <w:basedOn w:val="Normal"/>
    <w:next w:val="Normal"/>
    <w:link w:val="Heading8Char"/>
    <w:qFormat/>
    <w:rsid w:val="00033B6E"/>
    <w:pPr>
      <w:ind w:left="720"/>
      <w:outlineLvl w:val="7"/>
    </w:pPr>
    <w:rPr>
      <w:i/>
    </w:rPr>
  </w:style>
  <w:style w:type="paragraph" w:styleId="Heading9">
    <w:name w:val="heading 9"/>
    <w:basedOn w:val="Normal"/>
    <w:next w:val="Normal"/>
    <w:link w:val="Heading9Char"/>
    <w:qFormat/>
    <w:rsid w:val="00033B6E"/>
    <w:pPr>
      <w:ind w:left="720"/>
      <w:outlineLvl w:val="8"/>
    </w:pPr>
    <w:rPr>
      <w:i/>
    </w:rPr>
  </w:style>
  <w:style w:type="character" w:default="1" w:styleId="DefaultParagraphFont">
    <w:name w:val="Default Paragraph Font"/>
    <w:uiPriority w:val="1"/>
    <w:unhideWhenUsed/>
    <w:rsid w:val="00033B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33B6E"/>
  </w:style>
  <w:style w:type="character" w:customStyle="1" w:styleId="Heading1Char">
    <w:name w:val="Heading 1 Char"/>
    <w:basedOn w:val="DefaultParagraphFont"/>
    <w:link w:val="Heading1"/>
    <w:rsid w:val="00033B6E"/>
    <w:rPr>
      <w:rFonts w:ascii="Times New Roman" w:eastAsia="Times New Roman" w:hAnsi="Times New Roman" w:cs="Times New Roman"/>
      <w:b/>
      <w:sz w:val="32"/>
      <w:szCs w:val="20"/>
      <w:lang w:eastAsia="en-US"/>
    </w:rPr>
  </w:style>
  <w:style w:type="paragraph" w:styleId="BodyText">
    <w:name w:val="Body Text"/>
    <w:basedOn w:val="Normal"/>
    <w:link w:val="BodyTextChar"/>
    <w:rsid w:val="00033B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33B6E"/>
    <w:rPr>
      <w:rFonts w:ascii="Times New Roman" w:eastAsia="Times New Roman" w:hAnsi="Times New Roman" w:cs="Times New Roman"/>
      <w:sz w:val="24"/>
      <w:lang w:eastAsia="en-US"/>
    </w:rPr>
  </w:style>
  <w:style w:type="paragraph" w:styleId="ListBullet">
    <w:name w:val="List Bullet"/>
    <w:basedOn w:val="List"/>
    <w:rsid w:val="00033B6E"/>
    <w:pPr>
      <w:numPr>
        <w:numId w:val="13"/>
      </w:numPr>
      <w:tabs>
        <w:tab w:val="clear" w:pos="340"/>
      </w:tabs>
      <w:spacing w:before="40" w:after="40"/>
    </w:pPr>
  </w:style>
  <w:style w:type="character" w:customStyle="1" w:styleId="SpecialBold">
    <w:name w:val="Special Bold"/>
    <w:basedOn w:val="DefaultParagraphFont"/>
    <w:rsid w:val="00033B6E"/>
    <w:rPr>
      <w:b/>
      <w:spacing w:val="0"/>
    </w:rPr>
  </w:style>
  <w:style w:type="paragraph" w:styleId="ListBullet2">
    <w:name w:val="List Bullet 2"/>
    <w:basedOn w:val="List2"/>
    <w:rsid w:val="00033B6E"/>
    <w:pPr>
      <w:numPr>
        <w:numId w:val="14"/>
      </w:numPr>
      <w:tabs>
        <w:tab w:val="clear" w:pos="680"/>
      </w:tabs>
    </w:pPr>
  </w:style>
  <w:style w:type="paragraph" w:customStyle="1" w:styleId="SuperHeading">
    <w:name w:val="SuperHeading"/>
    <w:basedOn w:val="Normal"/>
    <w:rsid w:val="00033B6E"/>
    <w:pPr>
      <w:spacing w:before="240" w:after="120"/>
      <w:outlineLvl w:val="0"/>
    </w:pPr>
    <w:rPr>
      <w:rFonts w:ascii="Times New Roman" w:hAnsi="Times New Roman"/>
      <w:b/>
      <w:sz w:val="32"/>
    </w:rPr>
  </w:style>
  <w:style w:type="paragraph" w:customStyle="1" w:styleId="AllowPageBreak">
    <w:name w:val="AllowPageBreak"/>
    <w:rsid w:val="00033B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33B6E"/>
    <w:pPr>
      <w:numPr>
        <w:numId w:val="3"/>
      </w:numPr>
      <w:tabs>
        <w:tab w:val="clear" w:pos="1021"/>
      </w:tabs>
      <w:ind w:left="1037" w:hanging="357"/>
    </w:pPr>
  </w:style>
  <w:style w:type="character" w:customStyle="1" w:styleId="BoldandItalics">
    <w:name w:val="Bold and Italics"/>
    <w:qFormat/>
    <w:rsid w:val="00033B6E"/>
    <w:rPr>
      <w:b/>
      <w:i/>
      <w:u w:val="none"/>
    </w:rPr>
  </w:style>
  <w:style w:type="character" w:customStyle="1" w:styleId="Heading2Char">
    <w:name w:val="Heading 2 Char"/>
    <w:basedOn w:val="DefaultParagraphFont"/>
    <w:link w:val="Heading2"/>
    <w:rsid w:val="00033B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33B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33B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33B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33B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33B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33B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33B6E"/>
    <w:rPr>
      <w:rFonts w:ascii="Courier New" w:eastAsia="Times New Roman" w:hAnsi="Courier New" w:cs="Times New Roman"/>
      <w:i/>
      <w:szCs w:val="20"/>
      <w:lang w:eastAsia="en-US"/>
    </w:rPr>
  </w:style>
  <w:style w:type="paragraph" w:customStyle="1" w:styleId="HeadingBase">
    <w:name w:val="Heading Base"/>
    <w:rsid w:val="00033B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33B6E"/>
    <w:pPr>
      <w:tabs>
        <w:tab w:val="right" w:leader="dot" w:pos="9072"/>
      </w:tabs>
      <w:ind w:left="567"/>
    </w:pPr>
    <w:rPr>
      <w:szCs w:val="22"/>
    </w:rPr>
  </w:style>
  <w:style w:type="paragraph" w:customStyle="1" w:styleId="TOCBase">
    <w:name w:val="TOC Base"/>
    <w:rsid w:val="00033B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33B6E"/>
    <w:pPr>
      <w:tabs>
        <w:tab w:val="right" w:leader="dot" w:pos="9072"/>
      </w:tabs>
      <w:spacing w:before="40" w:after="40"/>
      <w:ind w:left="284"/>
    </w:pPr>
    <w:rPr>
      <w:rFonts w:ascii="Times New Roman" w:hAnsi="Times New Roman"/>
    </w:rPr>
  </w:style>
  <w:style w:type="paragraph" w:styleId="TOC1">
    <w:name w:val="toc 1"/>
    <w:basedOn w:val="TOCBase"/>
    <w:next w:val="Normal"/>
    <w:rsid w:val="00033B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33B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33B6E"/>
    <w:rPr>
      <w:rFonts w:ascii="Times New Roman" w:eastAsia="Times New Roman" w:hAnsi="Times New Roman" w:cs="Times New Roman"/>
      <w:sz w:val="16"/>
      <w:lang w:eastAsia="en-US"/>
    </w:rPr>
  </w:style>
  <w:style w:type="paragraph" w:styleId="Title">
    <w:name w:val="Title"/>
    <w:basedOn w:val="HeadingBase"/>
    <w:link w:val="TitleChar"/>
    <w:qFormat/>
    <w:rsid w:val="00033B6E"/>
    <w:pPr>
      <w:spacing w:before="5040"/>
      <w:jc w:val="center"/>
    </w:pPr>
    <w:rPr>
      <w:sz w:val="48"/>
      <w:szCs w:val="72"/>
      <w:lang w:val="en-US"/>
    </w:rPr>
  </w:style>
  <w:style w:type="character" w:customStyle="1" w:styleId="TitleChar">
    <w:name w:val="Title Char"/>
    <w:basedOn w:val="DefaultParagraphFont"/>
    <w:link w:val="Title"/>
    <w:rsid w:val="00033B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33B6E"/>
    <w:pPr>
      <w:tabs>
        <w:tab w:val="left" w:pos="3600"/>
        <w:tab w:val="left" w:pos="3958"/>
      </w:tabs>
    </w:pPr>
  </w:style>
  <w:style w:type="paragraph" w:styleId="List">
    <w:name w:val="List"/>
    <w:basedOn w:val="BodyText"/>
    <w:next w:val="BodyText"/>
    <w:rsid w:val="00033B6E"/>
    <w:pPr>
      <w:tabs>
        <w:tab w:val="left" w:pos="340"/>
      </w:tabs>
      <w:spacing w:before="60" w:after="60"/>
      <w:ind w:left="340" w:hanging="340"/>
    </w:pPr>
  </w:style>
  <w:style w:type="paragraph" w:customStyle="1" w:styleId="Note">
    <w:name w:val="Note"/>
    <w:basedOn w:val="BodyText"/>
    <w:rsid w:val="00033B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33B6E"/>
    <w:pPr>
      <w:framePr w:wrap="auto" w:hAnchor="text" w:y="6049"/>
    </w:pPr>
    <w:rPr>
      <w:color w:val="000000"/>
      <w:sz w:val="40"/>
    </w:rPr>
  </w:style>
  <w:style w:type="paragraph" w:customStyle="1" w:styleId="TOCTitle">
    <w:name w:val="TOCTitle"/>
    <w:basedOn w:val="Heading1"/>
    <w:rsid w:val="00033B6E"/>
    <w:pPr>
      <w:spacing w:after="240"/>
      <w:jc w:val="center"/>
      <w:outlineLvl w:val="9"/>
    </w:pPr>
    <w:rPr>
      <w:caps/>
    </w:rPr>
  </w:style>
  <w:style w:type="paragraph" w:customStyle="1" w:styleId="Version">
    <w:name w:val="Version"/>
    <w:rsid w:val="00033B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33B6E"/>
    <w:pPr>
      <w:keepNext w:val="0"/>
      <w:tabs>
        <w:tab w:val="right" w:pos="4176"/>
      </w:tabs>
      <w:ind w:left="198" w:hanging="198"/>
    </w:pPr>
    <w:rPr>
      <w:rFonts w:ascii="Garamond" w:hAnsi="Garamond"/>
    </w:rPr>
  </w:style>
  <w:style w:type="paragraph" w:styleId="IndexHeading">
    <w:name w:val="index heading"/>
    <w:basedOn w:val="Normal"/>
    <w:next w:val="Index1"/>
    <w:semiHidden/>
    <w:rsid w:val="00033B6E"/>
    <w:pPr>
      <w:spacing w:before="120" w:after="120"/>
    </w:pPr>
    <w:rPr>
      <w:rFonts w:ascii="Arial" w:hAnsi="Arial"/>
      <w:b/>
      <w:color w:val="918585"/>
      <w:sz w:val="24"/>
    </w:rPr>
  </w:style>
  <w:style w:type="paragraph" w:styleId="Header">
    <w:name w:val="header"/>
    <w:basedOn w:val="Normal"/>
    <w:link w:val="HeaderChar"/>
    <w:rsid w:val="00033B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33B6E"/>
    <w:rPr>
      <w:rFonts w:ascii="Times New Roman" w:eastAsia="Times New Roman" w:hAnsi="Times New Roman" w:cs="Times New Roman"/>
      <w:sz w:val="16"/>
      <w:szCs w:val="20"/>
      <w:lang w:val="en-GB" w:eastAsia="en-US"/>
    </w:rPr>
  </w:style>
  <w:style w:type="paragraph" w:customStyle="1" w:styleId="Chapter">
    <w:name w:val="Chapter"/>
    <w:basedOn w:val="Normal"/>
    <w:rsid w:val="00033B6E"/>
    <w:pPr>
      <w:spacing w:before="240"/>
    </w:pPr>
    <w:rPr>
      <w:rFonts w:ascii="Times New Roman" w:hAnsi="Times New Roman"/>
      <w:smallCaps/>
      <w:spacing w:val="80"/>
      <w:sz w:val="28"/>
    </w:rPr>
  </w:style>
  <w:style w:type="paragraph" w:customStyle="1" w:styleId="InChapter">
    <w:name w:val="InChapter"/>
    <w:basedOn w:val="Heading3"/>
    <w:rsid w:val="00033B6E"/>
    <w:pPr>
      <w:spacing w:after="240"/>
      <w:outlineLvl w:val="9"/>
    </w:pPr>
    <w:rPr>
      <w:noProof/>
    </w:rPr>
  </w:style>
  <w:style w:type="paragraph" w:styleId="Index2">
    <w:name w:val="index 2"/>
    <w:basedOn w:val="Normal"/>
    <w:next w:val="Normal"/>
    <w:semiHidden/>
    <w:rsid w:val="00033B6E"/>
    <w:pPr>
      <w:tabs>
        <w:tab w:val="right" w:pos="4176"/>
      </w:tabs>
      <w:ind w:left="568" w:hanging="284"/>
    </w:pPr>
    <w:rPr>
      <w:rFonts w:ascii="Garamond" w:hAnsi="Garamond"/>
    </w:rPr>
  </w:style>
  <w:style w:type="paragraph" w:customStyle="1" w:styleId="Byline">
    <w:name w:val="Byline"/>
    <w:rsid w:val="00033B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33B6E"/>
    <w:pPr>
      <w:tabs>
        <w:tab w:val="clear" w:pos="3600"/>
        <w:tab w:val="clear" w:pos="3958"/>
      </w:tabs>
      <w:jc w:val="right"/>
    </w:pPr>
  </w:style>
  <w:style w:type="character" w:styleId="Emphasis">
    <w:name w:val="Emphasis"/>
    <w:basedOn w:val="DefaultParagraphFont"/>
    <w:qFormat/>
    <w:rsid w:val="00033B6E"/>
    <w:rPr>
      <w:i/>
    </w:rPr>
  </w:style>
  <w:style w:type="paragraph" w:styleId="Caption">
    <w:name w:val="caption"/>
    <w:basedOn w:val="BodyText"/>
    <w:next w:val="Normal"/>
    <w:qFormat/>
    <w:rsid w:val="00033B6E"/>
    <w:pPr>
      <w:framePr w:w="2268" w:hSpace="181" w:vSpace="181" w:wrap="around" w:vAnchor="text" w:hAnchor="page" w:x="1135" w:y="285" w:anchorLock="1"/>
    </w:pPr>
    <w:rPr>
      <w:i/>
    </w:rPr>
  </w:style>
  <w:style w:type="paragraph" w:customStyle="1" w:styleId="MiniTOCTitle">
    <w:name w:val="MiniTOCTitle"/>
    <w:basedOn w:val="Heading4"/>
    <w:rsid w:val="00033B6E"/>
    <w:pPr>
      <w:spacing w:before="240"/>
      <w:outlineLvl w:val="9"/>
    </w:pPr>
    <w:rPr>
      <w:noProof/>
      <w:sz w:val="24"/>
    </w:rPr>
  </w:style>
  <w:style w:type="paragraph" w:customStyle="1" w:styleId="MiniTOCItem">
    <w:name w:val="MiniTOCItem"/>
    <w:basedOn w:val="ListBullet"/>
    <w:rsid w:val="00033B6E"/>
    <w:pPr>
      <w:numPr>
        <w:numId w:val="0"/>
      </w:numPr>
      <w:tabs>
        <w:tab w:val="right" w:leader="dot" w:pos="6521"/>
      </w:tabs>
      <w:spacing w:before="0" w:after="0"/>
    </w:pPr>
  </w:style>
  <w:style w:type="paragraph" w:customStyle="1" w:styleId="TOFTitle">
    <w:name w:val="TOFTitle"/>
    <w:basedOn w:val="TOCTitle"/>
    <w:rsid w:val="00033B6E"/>
  </w:style>
  <w:style w:type="paragraph" w:styleId="TableofFigures">
    <w:name w:val="table of figures"/>
    <w:basedOn w:val="Normal"/>
    <w:next w:val="Normal"/>
    <w:semiHidden/>
    <w:rsid w:val="00033B6E"/>
    <w:pPr>
      <w:tabs>
        <w:tab w:val="right" w:leader="dot" w:pos="9072"/>
      </w:tabs>
      <w:ind w:left="970" w:hanging="403"/>
    </w:pPr>
    <w:rPr>
      <w:rFonts w:ascii="Times New Roman" w:hAnsi="Times New Roman"/>
      <w:b/>
    </w:rPr>
  </w:style>
  <w:style w:type="paragraph" w:styleId="ListNumber">
    <w:name w:val="List Number"/>
    <w:basedOn w:val="List"/>
    <w:rsid w:val="00033B6E"/>
    <w:pPr>
      <w:numPr>
        <w:numId w:val="16"/>
      </w:numPr>
      <w:tabs>
        <w:tab w:val="clear" w:pos="340"/>
      </w:tabs>
    </w:pPr>
  </w:style>
  <w:style w:type="character" w:customStyle="1" w:styleId="WingdingSymbols">
    <w:name w:val="Wingding Symbols"/>
    <w:rsid w:val="00033B6E"/>
    <w:rPr>
      <w:rFonts w:ascii="Wingdings" w:hAnsi="Wingdings"/>
    </w:rPr>
  </w:style>
  <w:style w:type="paragraph" w:customStyle="1" w:styleId="TableHeading">
    <w:name w:val="Table Heading"/>
    <w:basedOn w:val="HeadingBase"/>
    <w:rsid w:val="00033B6E"/>
    <w:pPr>
      <w:keepLines/>
      <w:pBdr>
        <w:bottom w:val="single" w:sz="6" w:space="1" w:color="918585"/>
      </w:pBdr>
      <w:spacing w:before="240"/>
    </w:pPr>
  </w:style>
  <w:style w:type="character" w:customStyle="1" w:styleId="HotSpot">
    <w:name w:val="HotSpot"/>
    <w:rsid w:val="00033B6E"/>
    <w:rPr>
      <w:color w:val="0033CC"/>
      <w:u w:val="none"/>
    </w:rPr>
  </w:style>
  <w:style w:type="paragraph" w:customStyle="1" w:styleId="BodyTextRight">
    <w:name w:val="Body Text Right"/>
    <w:basedOn w:val="BodyText"/>
    <w:rsid w:val="00033B6E"/>
    <w:pPr>
      <w:spacing w:before="0" w:after="0"/>
      <w:jc w:val="right"/>
    </w:pPr>
  </w:style>
  <w:style w:type="paragraph" w:styleId="Index3">
    <w:name w:val="index 3"/>
    <w:basedOn w:val="ListNumber2"/>
    <w:next w:val="Normal"/>
    <w:semiHidden/>
    <w:rsid w:val="00033B6E"/>
    <w:pPr>
      <w:numPr>
        <w:numId w:val="0"/>
      </w:numPr>
      <w:tabs>
        <w:tab w:val="right" w:leader="dot" w:pos="4176"/>
      </w:tabs>
    </w:pPr>
  </w:style>
  <w:style w:type="paragraph" w:styleId="ListNumber2">
    <w:name w:val="List Number 2"/>
    <w:basedOn w:val="List2"/>
    <w:rsid w:val="00033B6E"/>
    <w:pPr>
      <w:numPr>
        <w:numId w:val="11"/>
      </w:numPr>
      <w:tabs>
        <w:tab w:val="clear" w:pos="1060"/>
      </w:tabs>
    </w:pPr>
  </w:style>
  <w:style w:type="paragraph" w:customStyle="1" w:styleId="MarginNote">
    <w:name w:val="Margin Note"/>
    <w:basedOn w:val="BodyText"/>
    <w:rsid w:val="00033B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33B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33B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33B6E"/>
    <w:rPr>
      <w:sz w:val="32"/>
    </w:rPr>
  </w:style>
  <w:style w:type="paragraph" w:customStyle="1" w:styleId="HeadingProcedure">
    <w:name w:val="Heading Procedure"/>
    <w:basedOn w:val="HeadingBase"/>
    <w:next w:val="Normal"/>
    <w:rsid w:val="00033B6E"/>
    <w:pPr>
      <w:tabs>
        <w:tab w:val="left" w:pos="0"/>
      </w:tabs>
      <w:spacing w:before="120" w:after="60"/>
    </w:pPr>
    <w:rPr>
      <w:i/>
      <w:color w:val="918585"/>
      <w:sz w:val="22"/>
    </w:rPr>
  </w:style>
  <w:style w:type="paragraph" w:customStyle="1" w:styleId="TableBodyText">
    <w:name w:val="Table Body Text"/>
    <w:basedOn w:val="BodyText"/>
    <w:rsid w:val="00033B6E"/>
    <w:pPr>
      <w:spacing w:before="60" w:after="60"/>
    </w:pPr>
  </w:style>
  <w:style w:type="paragraph" w:styleId="ListContinue">
    <w:name w:val="List Continue"/>
    <w:basedOn w:val="List"/>
    <w:rsid w:val="00033B6E"/>
    <w:pPr>
      <w:ind w:firstLine="0"/>
    </w:pPr>
  </w:style>
  <w:style w:type="paragraph" w:customStyle="1" w:styleId="ListNote">
    <w:name w:val="List Note"/>
    <w:basedOn w:val="List"/>
    <w:rsid w:val="00033B6E"/>
    <w:pPr>
      <w:pBdr>
        <w:top w:val="single" w:sz="6" w:space="2" w:color="918585"/>
        <w:bottom w:val="single" w:sz="6" w:space="2" w:color="918585"/>
      </w:pBdr>
      <w:tabs>
        <w:tab w:val="left" w:pos="1021"/>
      </w:tabs>
      <w:ind w:firstLine="0"/>
    </w:pPr>
  </w:style>
  <w:style w:type="paragraph" w:customStyle="1" w:styleId="Warning">
    <w:name w:val="Warning"/>
    <w:basedOn w:val="BodyText"/>
    <w:rsid w:val="00033B6E"/>
    <w:pPr>
      <w:shd w:val="clear" w:color="auto" w:fill="D9D9D9"/>
      <w:tabs>
        <w:tab w:val="left" w:pos="992"/>
      </w:tabs>
      <w:ind w:left="119" w:right="119"/>
    </w:pPr>
    <w:rPr>
      <w:sz w:val="20"/>
    </w:rPr>
  </w:style>
  <w:style w:type="paragraph" w:customStyle="1" w:styleId="MarginIcons">
    <w:name w:val="Margin Icons"/>
    <w:basedOn w:val="BodyText"/>
    <w:rsid w:val="00033B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33B6E"/>
    <w:rPr>
      <w:rFonts w:ascii="Courier New" w:hAnsi="Courier New"/>
    </w:rPr>
  </w:style>
  <w:style w:type="paragraph" w:customStyle="1" w:styleId="NoteBullet">
    <w:name w:val="Note Bullet"/>
    <w:basedOn w:val="Note"/>
    <w:rsid w:val="00033B6E"/>
    <w:pPr>
      <w:tabs>
        <w:tab w:val="clear" w:pos="680"/>
      </w:tabs>
      <w:spacing w:before="60" w:after="60"/>
    </w:pPr>
  </w:style>
  <w:style w:type="paragraph" w:customStyle="1" w:styleId="SubHeading2">
    <w:name w:val="SubHeading2"/>
    <w:basedOn w:val="HeadingBase"/>
    <w:rsid w:val="00033B6E"/>
    <w:pPr>
      <w:spacing w:before="240" w:after="60"/>
    </w:pPr>
    <w:rPr>
      <w:sz w:val="20"/>
    </w:rPr>
  </w:style>
  <w:style w:type="paragraph" w:customStyle="1" w:styleId="SubHeading1">
    <w:name w:val="SubHeading1"/>
    <w:basedOn w:val="HeadingBase"/>
    <w:rsid w:val="00033B6E"/>
    <w:pPr>
      <w:spacing w:before="240" w:after="60"/>
    </w:pPr>
    <w:rPr>
      <w:color w:val="918585"/>
      <w:sz w:val="22"/>
    </w:rPr>
  </w:style>
  <w:style w:type="paragraph" w:customStyle="1" w:styleId="SideHeading">
    <w:name w:val="Side Heading"/>
    <w:basedOn w:val="HeadingBase"/>
    <w:rsid w:val="00033B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33B6E"/>
    <w:pPr>
      <w:numPr>
        <w:numId w:val="12"/>
      </w:numPr>
    </w:pPr>
  </w:style>
  <w:style w:type="paragraph" w:styleId="PlainText">
    <w:name w:val="Plain Text"/>
    <w:basedOn w:val="Normal"/>
    <w:link w:val="PlainTextChar"/>
    <w:rsid w:val="00033B6E"/>
    <w:rPr>
      <w:sz w:val="20"/>
    </w:rPr>
  </w:style>
  <w:style w:type="character" w:customStyle="1" w:styleId="PlainTextChar">
    <w:name w:val="Plain Text Char"/>
    <w:basedOn w:val="DefaultParagraphFont"/>
    <w:link w:val="PlainText"/>
    <w:rsid w:val="00033B6E"/>
    <w:rPr>
      <w:rFonts w:ascii="Courier New" w:eastAsia="Times New Roman" w:hAnsi="Courier New" w:cs="Times New Roman"/>
      <w:sz w:val="20"/>
      <w:szCs w:val="20"/>
      <w:lang w:eastAsia="en-US"/>
    </w:rPr>
  </w:style>
  <w:style w:type="character" w:customStyle="1" w:styleId="MenuOption">
    <w:name w:val="Menu Option"/>
    <w:basedOn w:val="DefaultParagraphFont"/>
    <w:rsid w:val="00033B6E"/>
    <w:rPr>
      <w:b/>
      <w:smallCaps/>
    </w:rPr>
  </w:style>
  <w:style w:type="paragraph" w:customStyle="1" w:styleId="TableListNumber">
    <w:name w:val="Table List Number"/>
    <w:basedOn w:val="ListNumber"/>
    <w:rsid w:val="00033B6E"/>
    <w:pPr>
      <w:numPr>
        <w:numId w:val="0"/>
      </w:numPr>
    </w:pPr>
  </w:style>
  <w:style w:type="paragraph" w:styleId="TOC4">
    <w:name w:val="toc 4"/>
    <w:basedOn w:val="TOCBase"/>
    <w:next w:val="Normal"/>
    <w:semiHidden/>
    <w:rsid w:val="00033B6E"/>
    <w:pPr>
      <w:tabs>
        <w:tab w:val="right" w:leader="dot" w:pos="9071"/>
      </w:tabs>
      <w:ind w:left="1701"/>
    </w:pPr>
  </w:style>
  <w:style w:type="paragraph" w:customStyle="1" w:styleId="ListAlpha">
    <w:name w:val="List Alpha"/>
    <w:basedOn w:val="List"/>
    <w:rsid w:val="00033B6E"/>
    <w:pPr>
      <w:numPr>
        <w:numId w:val="10"/>
      </w:numPr>
    </w:pPr>
  </w:style>
  <w:style w:type="paragraph" w:customStyle="1" w:styleId="ListAlpha2">
    <w:name w:val="List Alpha 2"/>
    <w:basedOn w:val="List2"/>
    <w:rsid w:val="00033B6E"/>
    <w:pPr>
      <w:numPr>
        <w:numId w:val="9"/>
      </w:numPr>
    </w:pPr>
  </w:style>
  <w:style w:type="paragraph" w:styleId="List2">
    <w:name w:val="List 2"/>
    <w:basedOn w:val="BodyText"/>
    <w:rsid w:val="00033B6E"/>
    <w:pPr>
      <w:tabs>
        <w:tab w:val="left" w:pos="680"/>
      </w:tabs>
      <w:spacing w:before="60" w:after="60"/>
      <w:ind w:left="680" w:hanging="340"/>
    </w:pPr>
  </w:style>
  <w:style w:type="paragraph" w:styleId="List3">
    <w:name w:val="List 3"/>
    <w:basedOn w:val="BodyText"/>
    <w:rsid w:val="00033B6E"/>
    <w:pPr>
      <w:tabs>
        <w:tab w:val="left" w:pos="1021"/>
      </w:tabs>
      <w:spacing w:before="60" w:after="60"/>
      <w:ind w:left="1020" w:hanging="340"/>
    </w:pPr>
  </w:style>
  <w:style w:type="paragraph" w:styleId="List4">
    <w:name w:val="List 4"/>
    <w:basedOn w:val="BodyText"/>
    <w:rsid w:val="00033B6E"/>
    <w:pPr>
      <w:tabs>
        <w:tab w:val="left" w:pos="1361"/>
      </w:tabs>
      <w:spacing w:before="60" w:after="60"/>
      <w:ind w:left="1361" w:hanging="340"/>
    </w:pPr>
  </w:style>
  <w:style w:type="paragraph" w:styleId="List5">
    <w:name w:val="List 5"/>
    <w:basedOn w:val="BodyText"/>
    <w:rsid w:val="00033B6E"/>
    <w:pPr>
      <w:tabs>
        <w:tab w:val="left" w:pos="1701"/>
      </w:tabs>
      <w:spacing w:before="60" w:after="60"/>
      <w:ind w:left="1701" w:hanging="340"/>
    </w:pPr>
  </w:style>
  <w:style w:type="paragraph" w:styleId="ListBullet4">
    <w:name w:val="List Bullet 4"/>
    <w:basedOn w:val="List4"/>
    <w:rsid w:val="00033B6E"/>
    <w:pPr>
      <w:numPr>
        <w:numId w:val="4"/>
      </w:numPr>
      <w:tabs>
        <w:tab w:val="clear" w:pos="1361"/>
      </w:tabs>
    </w:pPr>
  </w:style>
  <w:style w:type="paragraph" w:styleId="ListBullet5">
    <w:name w:val="List Bullet 5"/>
    <w:basedOn w:val="List5"/>
    <w:rsid w:val="00033B6E"/>
    <w:pPr>
      <w:numPr>
        <w:numId w:val="5"/>
      </w:numPr>
    </w:pPr>
  </w:style>
  <w:style w:type="paragraph" w:styleId="ListContinue2">
    <w:name w:val="List Continue 2"/>
    <w:basedOn w:val="List2"/>
    <w:rsid w:val="00033B6E"/>
    <w:pPr>
      <w:ind w:firstLine="0"/>
    </w:pPr>
  </w:style>
  <w:style w:type="paragraph" w:styleId="ListContinue3">
    <w:name w:val="List Continue 3"/>
    <w:basedOn w:val="List3"/>
    <w:rsid w:val="00033B6E"/>
    <w:pPr>
      <w:ind w:left="1021" w:firstLine="0"/>
    </w:pPr>
  </w:style>
  <w:style w:type="paragraph" w:styleId="ListContinue4">
    <w:name w:val="List Continue 4"/>
    <w:basedOn w:val="List4"/>
    <w:rsid w:val="00033B6E"/>
    <w:pPr>
      <w:ind w:firstLine="0"/>
    </w:pPr>
  </w:style>
  <w:style w:type="paragraph" w:styleId="ListContinue5">
    <w:name w:val="List Continue 5"/>
    <w:basedOn w:val="List5"/>
    <w:rsid w:val="00033B6E"/>
    <w:pPr>
      <w:ind w:firstLine="0"/>
    </w:pPr>
  </w:style>
  <w:style w:type="paragraph" w:styleId="ListNumber3">
    <w:name w:val="List Number 3"/>
    <w:basedOn w:val="List3"/>
    <w:rsid w:val="00033B6E"/>
    <w:pPr>
      <w:numPr>
        <w:numId w:val="6"/>
      </w:numPr>
    </w:pPr>
  </w:style>
  <w:style w:type="paragraph" w:styleId="ListNumber4">
    <w:name w:val="List Number 4"/>
    <w:basedOn w:val="List4"/>
    <w:rsid w:val="00033B6E"/>
    <w:pPr>
      <w:numPr>
        <w:numId w:val="7"/>
      </w:numPr>
    </w:pPr>
  </w:style>
  <w:style w:type="paragraph" w:styleId="ListNumber5">
    <w:name w:val="List Number 5"/>
    <w:basedOn w:val="List5"/>
    <w:rsid w:val="00033B6E"/>
    <w:pPr>
      <w:numPr>
        <w:numId w:val="8"/>
      </w:numPr>
    </w:pPr>
  </w:style>
  <w:style w:type="paragraph" w:styleId="BlockText">
    <w:name w:val="Block Text"/>
    <w:basedOn w:val="Normal"/>
    <w:rsid w:val="00033B6E"/>
    <w:pPr>
      <w:spacing w:after="120"/>
      <w:ind w:left="1440" w:right="1440"/>
    </w:pPr>
  </w:style>
  <w:style w:type="character" w:customStyle="1" w:styleId="Subscript">
    <w:name w:val="Subscript"/>
    <w:basedOn w:val="DefaultParagraphFont"/>
    <w:rsid w:val="00033B6E"/>
    <w:rPr>
      <w:sz w:val="16"/>
      <w:vertAlign w:val="subscript"/>
    </w:rPr>
  </w:style>
  <w:style w:type="character" w:customStyle="1" w:styleId="Superscript">
    <w:name w:val="Superscript"/>
    <w:basedOn w:val="DefaultParagraphFont"/>
    <w:rsid w:val="00033B6E"/>
    <w:rPr>
      <w:sz w:val="16"/>
      <w:vertAlign w:val="superscript"/>
    </w:rPr>
  </w:style>
  <w:style w:type="character" w:customStyle="1" w:styleId="Symbols">
    <w:name w:val="Symbols"/>
    <w:basedOn w:val="DefaultParagraphFont"/>
    <w:rsid w:val="00033B6E"/>
    <w:rPr>
      <w:rFonts w:ascii="Symbol" w:hAnsi="Symbol"/>
    </w:rPr>
  </w:style>
  <w:style w:type="character" w:customStyle="1" w:styleId="MenuOptions">
    <w:name w:val="Menu Options"/>
    <w:basedOn w:val="DefaultParagraphFont"/>
    <w:rsid w:val="00033B6E"/>
    <w:rPr>
      <w:rFonts w:ascii="Arial Narrow" w:hAnsi="Arial Narrow"/>
      <w:smallCaps/>
    </w:rPr>
  </w:style>
  <w:style w:type="character" w:customStyle="1" w:styleId="Buttons">
    <w:name w:val="Buttons"/>
    <w:basedOn w:val="DefaultParagraphFont"/>
    <w:rsid w:val="00033B6E"/>
    <w:rPr>
      <w:b/>
    </w:rPr>
  </w:style>
  <w:style w:type="character" w:customStyle="1" w:styleId="Underlined">
    <w:name w:val="Underlined"/>
    <w:basedOn w:val="DefaultParagraphFont"/>
    <w:rsid w:val="00033B6E"/>
    <w:rPr>
      <w:u w:val="single"/>
    </w:rPr>
  </w:style>
  <w:style w:type="paragraph" w:customStyle="1" w:styleId="TableBodyTextRight">
    <w:name w:val="Table Body Text Right"/>
    <w:basedOn w:val="TableBodyText"/>
    <w:rsid w:val="00033B6E"/>
    <w:pPr>
      <w:widowControl w:val="0"/>
      <w:autoSpaceDE w:val="0"/>
      <w:autoSpaceDN w:val="0"/>
      <w:adjustRightInd w:val="0"/>
      <w:jc w:val="right"/>
    </w:pPr>
    <w:rPr>
      <w:rFonts w:cs="Arial"/>
      <w:szCs w:val="18"/>
    </w:rPr>
  </w:style>
  <w:style w:type="paragraph" w:customStyle="1" w:styleId="CopyrightText">
    <w:name w:val="Copyright Text"/>
    <w:basedOn w:val="BodyText"/>
    <w:rsid w:val="00033B6E"/>
    <w:rPr>
      <w:sz w:val="18"/>
    </w:rPr>
  </w:style>
  <w:style w:type="paragraph" w:customStyle="1" w:styleId="BodySmallRight">
    <w:name w:val="Body Small Right"/>
    <w:basedOn w:val="BodyTextRight"/>
    <w:rsid w:val="00033B6E"/>
    <w:rPr>
      <w:sz w:val="18"/>
      <w:szCs w:val="18"/>
    </w:rPr>
  </w:style>
  <w:style w:type="paragraph" w:customStyle="1" w:styleId="MarginEdition">
    <w:name w:val="Margin Edition"/>
    <w:basedOn w:val="MarginNote"/>
    <w:rsid w:val="00033B6E"/>
    <w:pPr>
      <w:spacing w:before="0" w:after="0"/>
    </w:pPr>
    <w:rPr>
      <w:rFonts w:ascii="Times New Roman" w:hAnsi="Times New Roman"/>
      <w:color w:val="999999"/>
    </w:rPr>
  </w:style>
  <w:style w:type="paragraph" w:customStyle="1" w:styleId="Spacer">
    <w:name w:val="Spacer"/>
    <w:basedOn w:val="Normal"/>
    <w:rsid w:val="00033B6E"/>
    <w:rPr>
      <w:sz w:val="2"/>
      <w:szCs w:val="2"/>
    </w:rPr>
  </w:style>
  <w:style w:type="character" w:customStyle="1" w:styleId="Small">
    <w:name w:val="Small"/>
    <w:basedOn w:val="DefaultParagraphFont"/>
    <w:rsid w:val="00033B6E"/>
    <w:rPr>
      <w:sz w:val="16"/>
    </w:rPr>
  </w:style>
  <w:style w:type="paragraph" w:customStyle="1" w:styleId="WideTable">
    <w:name w:val="Wide Table"/>
    <w:basedOn w:val="Normal"/>
    <w:rsid w:val="00033B6E"/>
    <w:pPr>
      <w:ind w:left="-1418"/>
    </w:pPr>
    <w:rPr>
      <w:sz w:val="2"/>
      <w:szCs w:val="2"/>
    </w:rPr>
  </w:style>
  <w:style w:type="character" w:styleId="PageNumber">
    <w:name w:val="page number"/>
    <w:basedOn w:val="DefaultParagraphFont"/>
    <w:rsid w:val="00033B6E"/>
  </w:style>
  <w:style w:type="paragraph" w:styleId="Quote">
    <w:name w:val="Quote"/>
    <w:basedOn w:val="Heading1"/>
    <w:link w:val="QuoteChar"/>
    <w:qFormat/>
    <w:rsid w:val="00033B6E"/>
    <w:rPr>
      <w:b w:val="0"/>
      <w:sz w:val="72"/>
      <w:szCs w:val="72"/>
      <w:lang w:val="en-NZ"/>
    </w:rPr>
  </w:style>
  <w:style w:type="character" w:customStyle="1" w:styleId="QuoteChar">
    <w:name w:val="Quote Char"/>
    <w:basedOn w:val="DefaultParagraphFont"/>
    <w:link w:val="Quote"/>
    <w:rsid w:val="00033B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33B6E"/>
    <w:pPr>
      <w:pageBreakBefore/>
    </w:pPr>
  </w:style>
  <w:style w:type="paragraph" w:customStyle="1" w:styleId="Border">
    <w:name w:val="Border"/>
    <w:basedOn w:val="Normal"/>
    <w:qFormat/>
    <w:rsid w:val="00033B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33B6E"/>
    <w:rPr>
      <w:b/>
      <w:bCs/>
      <w:i/>
      <w:iCs/>
      <w:color w:val="auto"/>
    </w:rPr>
  </w:style>
  <w:style w:type="paragraph" w:styleId="IntenseQuote">
    <w:name w:val="Intense Quote"/>
    <w:basedOn w:val="Normal"/>
    <w:next w:val="Normal"/>
    <w:link w:val="IntenseQuoteChar"/>
    <w:uiPriority w:val="30"/>
    <w:qFormat/>
    <w:rsid w:val="00033B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33B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33B6E"/>
    <w:rPr>
      <w:smallCaps/>
      <w:color w:val="auto"/>
      <w:u w:val="single"/>
    </w:rPr>
  </w:style>
  <w:style w:type="character" w:styleId="IntenseReference">
    <w:name w:val="Intense Reference"/>
    <w:basedOn w:val="DefaultParagraphFont"/>
    <w:uiPriority w:val="32"/>
    <w:qFormat/>
    <w:rsid w:val="00033B6E"/>
    <w:rPr>
      <w:b/>
      <w:bCs/>
      <w:smallCaps/>
      <w:color w:val="auto"/>
      <w:spacing w:val="5"/>
      <w:u w:val="single"/>
    </w:rPr>
  </w:style>
  <w:style w:type="paragraph" w:customStyle="1" w:styleId="2ColumnHeading">
    <w:name w:val="2Column Heading"/>
    <w:basedOn w:val="BodyText"/>
    <w:qFormat/>
    <w:rsid w:val="00033B6E"/>
    <w:pPr>
      <w:spacing w:after="60"/>
      <w:ind w:left="-2268"/>
    </w:pPr>
    <w:rPr>
      <w:b/>
    </w:rPr>
  </w:style>
  <w:style w:type="paragraph" w:customStyle="1" w:styleId="Heading1TOC">
    <w:name w:val="Heading1 TOC"/>
    <w:basedOn w:val="Normal"/>
    <w:qFormat/>
    <w:rsid w:val="00033B6E"/>
    <w:pPr>
      <w:spacing w:before="240" w:after="120"/>
    </w:pPr>
    <w:rPr>
      <w:rFonts w:ascii="Times New Roman" w:hAnsi="Times New Roman"/>
      <w:b/>
      <w:sz w:val="32"/>
    </w:rPr>
  </w:style>
  <w:style w:type="paragraph" w:customStyle="1" w:styleId="Heading2TOC">
    <w:name w:val="Heading2 TOC"/>
    <w:basedOn w:val="Normal"/>
    <w:qFormat/>
    <w:rsid w:val="00033B6E"/>
    <w:pPr>
      <w:spacing w:before="240" w:after="60"/>
    </w:pPr>
    <w:rPr>
      <w:rFonts w:ascii="Times New Roman" w:hAnsi="Times New Roman"/>
      <w:b/>
      <w:sz w:val="28"/>
    </w:rPr>
  </w:style>
  <w:style w:type="character" w:customStyle="1" w:styleId="Underline">
    <w:name w:val="Underline"/>
    <w:basedOn w:val="DefaultParagraphFont"/>
    <w:qFormat/>
    <w:rsid w:val="00033B6E"/>
    <w:rPr>
      <w:u w:val="single"/>
    </w:rPr>
  </w:style>
  <w:style w:type="paragraph" w:styleId="BalloonText">
    <w:name w:val="Balloon Text"/>
    <w:basedOn w:val="Normal"/>
    <w:link w:val="BalloonTextChar"/>
    <w:rsid w:val="00033B6E"/>
    <w:rPr>
      <w:rFonts w:ascii="Tahoma" w:hAnsi="Tahoma" w:cs="Tahoma"/>
      <w:sz w:val="16"/>
      <w:szCs w:val="16"/>
    </w:rPr>
  </w:style>
  <w:style w:type="character" w:customStyle="1" w:styleId="BalloonTextChar">
    <w:name w:val="Balloon Text Char"/>
    <w:basedOn w:val="DefaultParagraphFont"/>
    <w:link w:val="BalloonText"/>
    <w:rsid w:val="00033B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33B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33B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33B6E"/>
    <w:rPr>
      <w:b/>
      <w:color w:val="660033"/>
      <w:spacing w:val="0"/>
    </w:rPr>
  </w:style>
  <w:style w:type="paragraph" w:customStyle="1" w:styleId="Nameditemlist">
    <w:name w:val="Named item list"/>
    <w:basedOn w:val="BodyText"/>
    <w:qFormat/>
    <w:rsid w:val="00033B6E"/>
    <w:pPr>
      <w:tabs>
        <w:tab w:val="left" w:pos="2835"/>
      </w:tabs>
      <w:ind w:left="2835" w:hanging="2835"/>
    </w:pPr>
  </w:style>
  <w:style w:type="paragraph" w:customStyle="1" w:styleId="BodyTextnopadding">
    <w:name w:val="Body Text no padding"/>
    <w:basedOn w:val="BodyText"/>
    <w:qFormat/>
    <w:rsid w:val="00033B6E"/>
    <w:pPr>
      <w:spacing w:before="0" w:after="0"/>
    </w:pPr>
  </w:style>
  <w:style w:type="paragraph" w:customStyle="1" w:styleId="BodyTextBold">
    <w:name w:val="Body Text Bold"/>
    <w:basedOn w:val="BodyText"/>
    <w:qFormat/>
    <w:rsid w:val="00033B6E"/>
    <w:rPr>
      <w:b/>
    </w:rPr>
  </w:style>
  <w:style w:type="character" w:styleId="Hyperlink">
    <w:name w:val="Hyperlink"/>
    <w:basedOn w:val="DefaultParagraphFont"/>
    <w:uiPriority w:val="99"/>
    <w:unhideWhenUsed/>
    <w:rsid w:val="00EA0A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1857</Words>
  <Characters>11980</Characters>
  <Application>Microsoft Office Word</Application>
  <DocSecurity>0</DocSecurity>
  <Lines>413</Lines>
  <Paragraphs>197</Paragraphs>
  <ScaleCrop>false</ScaleCrop>
  <Company>Author-it Software Corporation Ltd.</Company>
  <LinksUpToDate>false</LinksUpToDate>
  <CharactersWithSpaces>13640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CPCCBS6004 Assess and advise on compliance of design documentation for residential buildings to three storeys</dc:title>
  <dc:subject>Approved</dc:subject>
  <dc:creator>BuildSkills Australia</dc:creator>
  <cp:keywords>Release: 1</cp:keywords>
  <dc:description>Review Date: 12 April 2008</dc:description>
  <cp:lastModifiedBy>HSD_TPCMSd.prod</cp:lastModifiedBy>
  <cp:revision>3</cp:revision>
  <dcterms:created xsi:type="dcterms:W3CDTF">2025-03-02T00:12:00Z</dcterms:created>
  <dcterms:modified xsi:type="dcterms:W3CDTF">2025-03-02T00:12:00Z</dcterms:modified>
</cp:coreProperties>
</file>