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739" w:rsidP="00697739">
      <w:pPr>
        <w:pStyle w:val="Title"/>
      </w:pPr>
      <w:r>
        <w:fldChar w:fldCharType="begin"/>
      </w:r>
      <w:r>
        <w:instrText xml:space="preserve"> TITLE   \* MERGEFORMAT </w:instrText>
      </w:r>
      <w:r>
        <w:fldChar w:fldCharType="separate"/>
      </w:r>
      <w:r>
        <w:t>CPCCBC6017 Evaluate services layout and connection methods for the planning of large building projects</w:t>
      </w:r>
      <w:r>
        <w:fldChar w:fldCharType="end"/>
      </w:r>
    </w:p>
    <w:p w:rsidR="00697739" w:rsidP="00697739">
      <w:pPr>
        <w:pStyle w:val="Version"/>
        <w:sectPr w:rsidSect="00CD06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0619" w:rsidP="00CD0619">
      <w:pPr>
        <w:pStyle w:val="SuperHeading"/>
      </w:pPr>
      <w:r w:rsidRPr="00CD0619">
        <w:t>CPCCBC6017 Evaluate services layout and connection methods for the planning of large building projects</w:t>
      </w:r>
    </w:p>
    <w:p w:rsidR="00000000" w:rsidRPr="00CD0619" w:rsidP="00CD0619">
      <w:pPr>
        <w:pStyle w:val="Heading1"/>
      </w:pPr>
      <w:bookmarkStart w:id="1" w:name="O_1294706"/>
      <w:bookmarkEnd w:id="1"/>
      <w:r w:rsidRPr="00CD0619">
        <w:t>Modification History</w:t>
      </w:r>
    </w:p>
    <w:tbl>
      <w:tblPr>
        <w:tblW w:w="0" w:type="auto"/>
        <w:tblLayout w:type="fixed"/>
        <w:tblCellMar>
          <w:left w:w="62" w:type="dxa"/>
          <w:right w:w="62" w:type="dxa"/>
        </w:tblCellMar>
        <w:tblLook w:val="0000"/>
      </w:tblPr>
      <w:tblGrid>
        <w:gridCol w:w="1128"/>
        <w:gridCol w:w="7944"/>
      </w:tblGrid>
      <w:tr w:rsidTr="00CD06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Release 2</w:t>
            </w:r>
          </w:p>
        </w:tc>
        <w:tc>
          <w:tcPr>
            <w:tcW w:w="794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Updated reference to general construction induction training program.</w:t>
            </w:r>
          </w:p>
        </w:tc>
      </w:tr>
      <w:tr w:rsidTr="00CD06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Release 1</w:t>
            </w:r>
          </w:p>
        </w:tc>
        <w:tc>
          <w:tcPr>
            <w:tcW w:w="7944" w:type="dxa"/>
            <w:tcBorders>
              <w:top w:val="nil"/>
              <w:left w:val="nil"/>
              <w:bottom w:val="nil"/>
              <w:right w:val="nil"/>
            </w:tcBorders>
            <w:tcMar>
              <w:top w:w="0" w:type="dxa"/>
              <w:left w:w="62" w:type="dxa"/>
              <w:bottom w:w="0" w:type="dxa"/>
              <w:right w:w="62" w:type="dxa"/>
            </w:tcMar>
          </w:tcPr>
          <w:p w:rsidR="00000000" w:rsidRPr="00CD0619" w:rsidP="00CD0619">
            <w:pPr>
              <w:pStyle w:val="BodyText"/>
            </w:pPr>
            <w:r w:rsidRPr="00CD0619">
              <w:t>This version first released with CPC Construction, Plumbing and Services Training Package Release 5.0.</w:t>
            </w:r>
          </w:p>
          <w:p w:rsidR="00000000" w:rsidRPr="00CD0619" w:rsidP="00CD0619">
            <w:pPr>
              <w:pStyle w:val="BodyText"/>
            </w:pPr>
            <w:r w:rsidRPr="00CD0619">
              <w:t>Supersedes and is equivalent to CPCCBC6017A Evaluate services layout and connection methods for the planning of large building projects.  Updated to meet</w:t>
            </w:r>
            <w:r w:rsidRPr="00CD0619">
              <w:t xml:space="preserve"> the Standards for Training Packages 2012.</w:t>
            </w:r>
          </w:p>
        </w:tc>
      </w:tr>
    </w:tbl>
    <w:p w:rsidR="00000000" w:rsidRPr="00CD0619" w:rsidP="00CD0619">
      <w:pPr>
        <w:pStyle w:val="BodyText"/>
      </w:pPr>
    </w:p>
    <w:p w:rsidR="00000000" w:rsidRPr="00CD0619" w:rsidP="00CD0619">
      <w:pPr>
        <w:pStyle w:val="AllowPageBreak"/>
      </w:pPr>
    </w:p>
    <w:p w:rsidR="00000000" w:rsidRPr="00CD0619" w:rsidP="00CD0619">
      <w:pPr>
        <w:pStyle w:val="Heading1"/>
      </w:pPr>
      <w:bookmarkStart w:id="2" w:name="O_1294705"/>
      <w:bookmarkEnd w:id="2"/>
      <w:r w:rsidRPr="00CD0619">
        <w:t>Application</w:t>
      </w:r>
    </w:p>
    <w:p w:rsidR="00000000" w:rsidRPr="00CD0619" w:rsidP="00697739">
      <w:pPr>
        <w:pStyle w:val="BodyText"/>
      </w:pPr>
      <w:r w:rsidRPr="00CD0619">
        <w:t xml:space="preserve">This unit of competency specifies the skills and knowledge required to evaluate the layout of services and connection methods in large, high-rise and complex buildings that comply </w:t>
      </w:r>
      <w:r w:rsidRPr="00CD0619">
        <w:t>with government building requirements and the National Construction Code (NCC). It includes cold and hot water supply, sewerage layout, electric and electronic installation, mechanical ventilation and air conditioning, smoke alarms and fire preventative sy</w:t>
      </w:r>
      <w:r w:rsidRPr="00CD0619">
        <w:t xml:space="preserve">stems. </w:t>
      </w:r>
    </w:p>
    <w:p w:rsidR="00000000" w:rsidRPr="00CD0619" w:rsidP="00697739">
      <w:pPr>
        <w:pStyle w:val="BodyText"/>
      </w:pPr>
      <w:r w:rsidRPr="00CD0619">
        <w:t>This unit of competency applies to builders and other related construction industry professionals and senior managers who determine and manage services installation and connection and resolve issues relating to the planning of services layout and s</w:t>
      </w:r>
      <w:r w:rsidRPr="00CD0619">
        <w:t>olving related problems.</w:t>
      </w:r>
    </w:p>
    <w:p w:rsidR="00000000" w:rsidRPr="00CD0619" w:rsidP="00697739">
      <w:pPr>
        <w:pStyle w:val="BodyText"/>
      </w:pPr>
      <w:r w:rsidRPr="00CD0619">
        <w:t xml:space="preserve">Completion of the general construction induction training program specified by the model Code of Practice for Construction Work is required for any person who is to carry out construction work. Achievement of </w:t>
      </w:r>
      <w:r w:rsidRPr="00CD0619">
        <w:rPr>
          <w:rStyle w:val="Emphasis"/>
        </w:rPr>
        <w:t>CPCWHS1001</w:t>
      </w:r>
      <w:r w:rsidRPr="00CD0619">
        <w:t xml:space="preserve"> </w:t>
      </w:r>
      <w:r w:rsidRPr="00CD0619">
        <w:rPr>
          <w:rStyle w:val="Emphasis"/>
        </w:rPr>
        <w:t xml:space="preserve">Prepare to </w:t>
      </w:r>
      <w:r w:rsidRPr="00CD0619">
        <w:rPr>
          <w:rStyle w:val="Emphasis"/>
        </w:rPr>
        <w:t xml:space="preserve">work safely in the construction industry </w:t>
      </w:r>
      <w:r w:rsidRPr="00CD0619">
        <w:t>meets this requirement.</w:t>
      </w:r>
    </w:p>
    <w:p w:rsidR="00000000" w:rsidRPr="00CD0619" w:rsidP="00697739">
      <w:pPr>
        <w:pStyle w:val="BodyText"/>
      </w:pPr>
      <w:r w:rsidRPr="00CD0619">
        <w:t>No licensing, legislative or certification requirements apply to this unit at the time of publication.</w:t>
      </w:r>
    </w:p>
    <w:p w:rsidR="00000000" w:rsidRPr="00CD0619" w:rsidP="00CD0619">
      <w:pPr>
        <w:pStyle w:val="Heading1"/>
      </w:pPr>
      <w:bookmarkStart w:id="3" w:name="O_1294704"/>
      <w:bookmarkEnd w:id="3"/>
      <w:r w:rsidRPr="00CD0619">
        <w:t>Pre-requisite Unit</w:t>
      </w:r>
    </w:p>
    <w:p w:rsidR="00000000" w:rsidRPr="00CD0619" w:rsidP="00697739">
      <w:pPr>
        <w:pStyle w:val="BodyText"/>
      </w:pPr>
      <w:r w:rsidRPr="00CD0619">
        <w:t>Nil.</w:t>
      </w:r>
    </w:p>
    <w:p w:rsidR="00000000" w:rsidRPr="00CD0619" w:rsidP="00CD0619">
      <w:pPr>
        <w:pStyle w:val="Heading1"/>
      </w:pPr>
      <w:bookmarkStart w:id="4" w:name="O_1294703"/>
      <w:bookmarkEnd w:id="4"/>
      <w:r w:rsidRPr="00CD0619">
        <w:t>Unit Sector</w:t>
      </w:r>
    </w:p>
    <w:p w:rsidR="00000000" w:rsidRPr="00CD0619" w:rsidP="00697739">
      <w:pPr>
        <w:pStyle w:val="BodyText"/>
      </w:pPr>
      <w:r w:rsidRPr="00CD0619">
        <w:t>Building and Construction</w:t>
      </w:r>
    </w:p>
    <w:p w:rsidR="00000000" w:rsidRPr="00CD0619" w:rsidP="00CD0619">
      <w:pPr>
        <w:pStyle w:val="Heading1"/>
      </w:pPr>
      <w:bookmarkStart w:id="5" w:name="O_1294702"/>
      <w:bookmarkEnd w:id="5"/>
      <w:r w:rsidRPr="00CD061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D061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Performance criteria describe what needs to be done to demonstrate achievement of the element.</w:t>
            </w:r>
          </w:p>
        </w:tc>
      </w:tr>
      <w:tr w:rsidTr="00CD06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1</w:t>
            </w:r>
          </w:p>
        </w:tc>
        <w:tc>
          <w:tcPr>
            <w:tcW w:w="2357"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layout of water supply for</w:t>
            </w:r>
            <w:r w:rsidRPr="00CD0619">
              <w:t xml:space="preserve"> general and firefighting use.</w:t>
            </w: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1.1</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 xml:space="preserve">Identify, evaluate and record specified water supply layout and connection in project plans and specifications. </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1.2</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Check water connection approvals and determine layout meets NCC performance requirements.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1.3</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Record installation of water services supplying fire hydrants, fire hose reels and fire sprinkler systems.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1.4</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results of interconnected and non-return water tanks for fire services.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1.5</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Confirm plumbing systems for general water supply is detailed and compliant with the NCC.</w:t>
            </w:r>
          </w:p>
        </w:tc>
      </w:tr>
      <w:tr w:rsidTr="00CD06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D0619">
            <w:pPr>
              <w:pStyle w:val="BodyText"/>
              <w:rPr>
                <w:lang w:val="en-NZ"/>
              </w:rPr>
            </w:pPr>
          </w:p>
        </w:tc>
      </w:tr>
      <w:tr w:rsidTr="00CD06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2</w:t>
            </w:r>
          </w:p>
        </w:tc>
        <w:tc>
          <w:tcPr>
            <w:tcW w:w="2357"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layout of sewerage and drainage disposal methods.</w:t>
            </w: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2.1</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Check approval documentation from the sewerage and drainage authority for any conditions relate</w:t>
            </w:r>
            <w:r w:rsidRPr="00CD0619">
              <w:t>d to the project.</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2.2</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Identify and evaluate planned sewerage layout and connect for compliance with NCC and authority requirements.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2.3</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Identify, evaluate and record connection methods of main drains to local authority sewers across open ground and within buildings for the whole site.</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2.4</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local authority requirements for disposal of sewerage from fixtures situated below the lev</w:t>
            </w:r>
            <w:r w:rsidRPr="00CD0619">
              <w:t>el of local authority sewer mains.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2.5</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 xml:space="preserve">Evaluate and document the design and installation of stormwater drainage systems. </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2.6</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and document methods for disposal of stormwater drainage systems.</w:t>
            </w:r>
          </w:p>
        </w:tc>
      </w:tr>
      <w:tr w:rsidTr="00CD06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D0619">
            <w:pPr>
              <w:pStyle w:val="BodyText"/>
              <w:rPr>
                <w:lang w:val="en-NZ"/>
              </w:rPr>
            </w:pPr>
          </w:p>
        </w:tc>
      </w:tr>
      <w:tr w:rsidTr="00CD06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3</w:t>
            </w:r>
          </w:p>
        </w:tc>
        <w:tc>
          <w:tcPr>
            <w:tcW w:w="2357"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 xml:space="preserve">Evaluate mechanical services and ventilation layout and </w:t>
            </w:r>
            <w:r w:rsidRPr="00CD0619">
              <w:t>connection.</w:t>
            </w: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3.1</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Establish mechanical ventilation control methods and use correct terminology to state how ventilation, volume, velocity and content is controlled.</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3.2</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 xml:space="preserve">Identify, evaluate and record </w:t>
            </w:r>
            <w:r w:rsidRPr="00CD0619">
              <w:t>methods of air distribution and smoke hazard management and ensure compliance with the NCC.</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3.3</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Identify, evaluate and record functions, application and basic elements of air conditioning and mechanical ventilation for various occupancy types in buildings.</w:t>
            </w:r>
          </w:p>
        </w:tc>
      </w:tr>
      <w:tr w:rsidTr="00CD06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D0619">
            <w:pPr>
              <w:pStyle w:val="BodyText"/>
              <w:rPr>
                <w:lang w:val="en-NZ"/>
              </w:rPr>
            </w:pPr>
          </w:p>
        </w:tc>
      </w:tr>
      <w:tr w:rsidTr="00CD06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4</w:t>
            </w:r>
          </w:p>
        </w:tc>
        <w:tc>
          <w:tcPr>
            <w:tcW w:w="2357"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Select hot water systems.</w:t>
            </w: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4.1</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Identify and evaluate design factors, height of installat</w:t>
            </w:r>
            <w:r w:rsidRPr="00CD0619">
              <w:t>ion, area to be serviced, number of outlets and energy sources available to select appropriate hot water system.</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4.2</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and document operating principles of various types of hot water systems.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4.3</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layout and connection for selected hot water system.</w:t>
            </w:r>
          </w:p>
        </w:tc>
      </w:tr>
      <w:tr w:rsidTr="00CD06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D0619">
            <w:pPr>
              <w:pStyle w:val="BodyText"/>
              <w:rPr>
                <w:lang w:val="en-NZ"/>
              </w:rPr>
            </w:pPr>
          </w:p>
        </w:tc>
      </w:tr>
      <w:tr w:rsidTr="00CD06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5</w:t>
            </w:r>
          </w:p>
        </w:tc>
        <w:tc>
          <w:tcPr>
            <w:tcW w:w="2357"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natural and artificial lighting.</w:t>
            </w: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5.1</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Determine the intent of natural lighting and aim of design from plans and specifications.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5.2</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Identify luminance requirements and compare artificial lighting types and sources for various service situations to meet relevant codes and standards.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5.3</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layout and connection methods for lighting systems from plans and specifications.</w:t>
            </w:r>
          </w:p>
        </w:tc>
      </w:tr>
      <w:tr w:rsidTr="00CD06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D0619">
            <w:pPr>
              <w:pStyle w:val="BodyText"/>
              <w:rPr>
                <w:lang w:val="en-NZ"/>
              </w:rPr>
            </w:pPr>
          </w:p>
        </w:tc>
      </w:tr>
      <w:tr w:rsidTr="00CD06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6</w:t>
            </w:r>
          </w:p>
        </w:tc>
        <w:tc>
          <w:tcPr>
            <w:tcW w:w="2357"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firefighting and fire detection systems.</w:t>
            </w: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6.1</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Identify building classification and relevant authorities responsible for fire safety regulations and inspection.</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6.2</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Identify and eva</w:t>
            </w:r>
            <w:r w:rsidRPr="00CD0619">
              <w:t>luate requirements for sprinkler systems, fire hydrants and fire hoses for compliance with the building classifications and codes.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6.3</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Identify and evaluate fire detection and alarm systems for compliance with the building classification and codes.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6</w:t>
            </w:r>
            <w:r w:rsidRPr="00CD0619">
              <w:t>.4</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layout and connection of fire detection and firefighting systems.</w:t>
            </w:r>
          </w:p>
        </w:tc>
      </w:tr>
      <w:tr w:rsidTr="00CD061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D0619">
            <w:pPr>
              <w:pStyle w:val="BodyText"/>
              <w:rPr>
                <w:lang w:val="en-NZ"/>
              </w:rPr>
            </w:pPr>
          </w:p>
        </w:tc>
      </w:tr>
      <w:tr w:rsidTr="00CD061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7</w:t>
            </w:r>
          </w:p>
        </w:tc>
        <w:tc>
          <w:tcPr>
            <w:tcW w:w="2357" w:type="dxa"/>
            <w:vMerge w:val="restart"/>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Determine requirements for general electrical and electronic service installation.</w:t>
            </w: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7.1</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Identify electrical d</w:t>
            </w:r>
            <w:r w:rsidRPr="00CD0619">
              <w:t xml:space="preserve">esign and requirements for service connection from electrical supply authorities. </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7.2</w:t>
            </w:r>
          </w:p>
        </w:tc>
        <w:tc>
          <w:tcPr>
            <w:tcW w:w="5659"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Evaluate layout and connection for general electrical supply and electronic services.</w:t>
            </w:r>
          </w:p>
        </w:tc>
      </w:tr>
      <w:tr w:rsidTr="00CD061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7.3</w:t>
            </w:r>
          </w:p>
        </w:tc>
        <w:tc>
          <w:tcPr>
            <w:tcW w:w="5659" w:type="dxa"/>
            <w:tcBorders>
              <w:top w:val="nil"/>
              <w:left w:val="nil"/>
              <w:bottom w:val="nil"/>
              <w:right w:val="nil"/>
            </w:tcBorders>
            <w:tcMar>
              <w:top w:w="0" w:type="dxa"/>
              <w:left w:w="62" w:type="dxa"/>
              <w:bottom w:w="0" w:type="dxa"/>
              <w:right w:w="62" w:type="dxa"/>
            </w:tcMar>
          </w:tcPr>
          <w:p w:rsidR="00000000" w:rsidRPr="00CD0619" w:rsidP="00CD0619">
            <w:pPr>
              <w:pStyle w:val="BodyText"/>
            </w:pPr>
            <w:r w:rsidRPr="00CD0619">
              <w:t xml:space="preserve">Identify design and evaluate layout </w:t>
            </w:r>
            <w:r w:rsidRPr="00CD0619">
              <w:t>and connection of emergency warning systems, emergency lighting and exit signage systems.</w:t>
            </w:r>
          </w:p>
        </w:tc>
      </w:tr>
    </w:tbl>
    <w:p w:rsidR="00000000" w:rsidRPr="00CD0619" w:rsidP="00CD0619">
      <w:pPr>
        <w:pStyle w:val="BodyText"/>
      </w:pPr>
    </w:p>
    <w:p w:rsidR="00000000" w:rsidRPr="00CD0619" w:rsidP="00CD0619">
      <w:pPr>
        <w:pStyle w:val="AllowPageBreak"/>
      </w:pPr>
    </w:p>
    <w:p w:rsidR="00000000" w:rsidRPr="00CD0619" w:rsidP="00CD0619">
      <w:pPr>
        <w:pStyle w:val="Heading1"/>
      </w:pPr>
      <w:bookmarkStart w:id="6" w:name="O_1294701"/>
      <w:bookmarkEnd w:id="6"/>
      <w:r w:rsidRPr="00CD0619">
        <w:t>Foundation Skills</w:t>
      </w:r>
    </w:p>
    <w:p w:rsidR="00000000" w:rsidRPr="00CD0619" w:rsidP="00697739">
      <w:pPr>
        <w:pStyle w:val="BodyText"/>
      </w:pPr>
      <w:r w:rsidRPr="00CD0619">
        <w:t xml:space="preserve">As well as the foundation skills explicit in the performance criteria of this unit, candidates require: </w:t>
      </w:r>
    </w:p>
    <w:p w:rsidR="00000000" w:rsidRPr="00CD0619" w:rsidP="00CD0619">
      <w:pPr>
        <w:pStyle w:val="ListBullet"/>
      </w:pPr>
      <w:r w:rsidRPr="00CD0619">
        <w:t xml:space="preserve">writing skills to: </w:t>
      </w:r>
    </w:p>
    <w:p w:rsidR="00000000" w:rsidRPr="00CD0619" w:rsidP="00CD0619">
      <w:pPr>
        <w:pStyle w:val="ListBullet2"/>
      </w:pPr>
      <w:r w:rsidRPr="00CD0619">
        <w:t xml:space="preserve">articulate evaluations and apply organisational and industry protocols in the preparation and provision of reports to appropriate bodies or individuals </w:t>
      </w:r>
    </w:p>
    <w:p w:rsidR="00000000" w:rsidRPr="00CD0619" w:rsidP="00CD0619">
      <w:pPr>
        <w:pStyle w:val="ListBullet2"/>
      </w:pPr>
      <w:r w:rsidRPr="00CD0619">
        <w:t xml:space="preserve">document evaluations, methods and requirements. </w:t>
      </w:r>
    </w:p>
    <w:p w:rsidR="00000000" w:rsidRPr="00CD0619" w:rsidP="00CD0619">
      <w:pPr>
        <w:pStyle w:val="ListBullet"/>
      </w:pPr>
      <w:r w:rsidRPr="00CD0619">
        <w:t>technology skills to:</w:t>
      </w:r>
    </w:p>
    <w:p w:rsidR="00000000" w:rsidRPr="00CD0619" w:rsidP="00CD0619">
      <w:pPr>
        <w:pStyle w:val="ListBullet2"/>
      </w:pPr>
      <w:r w:rsidRPr="00CD0619">
        <w:t xml:space="preserve">use digital tools and devices </w:t>
      </w:r>
      <w:r w:rsidRPr="00CD0619">
        <w:t>to communicate and collaborate effectively with others</w:t>
      </w:r>
    </w:p>
    <w:p w:rsidR="00000000" w:rsidRPr="00CD0619" w:rsidP="00CD0619">
      <w:pPr>
        <w:pStyle w:val="ListBullet2"/>
      </w:pPr>
      <w:r w:rsidRPr="00CD0619">
        <w:t>use equipment and programs to access, extract and record information and develop relevant documentation.</w:t>
      </w:r>
    </w:p>
    <w:p w:rsidR="00000000" w:rsidRPr="00CD0619" w:rsidP="00CD0619">
      <w:pPr>
        <w:pStyle w:val="AllowPageBreak"/>
      </w:pPr>
    </w:p>
    <w:p w:rsidR="00000000" w:rsidRPr="00CD0619" w:rsidP="00CD0619">
      <w:pPr>
        <w:pStyle w:val="Heading1"/>
      </w:pPr>
      <w:bookmarkStart w:id="7" w:name="O_1294700"/>
      <w:bookmarkEnd w:id="7"/>
      <w:r w:rsidRPr="00CD0619">
        <w:t>Unit Mapping Information</w:t>
      </w:r>
    </w:p>
    <w:p w:rsidR="00000000" w:rsidRPr="00CD0619" w:rsidP="00697739">
      <w:pPr>
        <w:pStyle w:val="BodyText"/>
      </w:pPr>
      <w:r w:rsidRPr="00CD0619">
        <w:t>Supersedes and is equivalent to CPCCBC6017A Evaluate</w:t>
      </w:r>
      <w:r w:rsidRPr="00CD0619">
        <w:t xml:space="preserve"> services layout and connection methods for the planning of large building projects.</w:t>
      </w:r>
    </w:p>
    <w:p w:rsidR="00000000" w:rsidRPr="00CD0619" w:rsidP="00CD0619">
      <w:pPr>
        <w:pStyle w:val="Heading1"/>
      </w:pPr>
      <w:bookmarkStart w:id="8" w:name="O_1294707"/>
      <w:bookmarkEnd w:id="8"/>
      <w:r w:rsidRPr="00CD0619">
        <w:t>Links</w:t>
      </w:r>
    </w:p>
    <w:p w:rsidR="00000000" w:rsidRPr="00CD0619" w:rsidP="00697739">
      <w:pPr>
        <w:pStyle w:val="BodyText"/>
      </w:pPr>
      <w:r w:rsidRPr="00CD061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4217A">
        <w:rPr>
          <w:rStyle w:val="Hyperlink"/>
        </w:rPr>
        <w:t>https://vetnet.gov.au/Pages/TrainingDocs.aspx?q=7e15fa6a-68b8-4097-b099-030a5569b1ad</w:t>
      </w:r>
      <w:r>
        <w:fldChar w:fldCharType="end"/>
      </w:r>
    </w:p>
    <w:p w:rsidR="00000000" w:rsidRPr="00CD0619" w:rsidP="00697739">
      <w:pPr>
        <w:pStyle w:val="BodyText"/>
        <w:sectPr w:rsidSect="00CD0619">
          <w:headerReference w:type="default" r:id="rId10"/>
          <w:footerReference w:type="default" r:id="rId11"/>
          <w:pgSz w:w="11908" w:h="16833"/>
          <w:pgMar w:top="1702" w:right="1418" w:bottom="1702" w:left="1418" w:header="992" w:footer="992" w:gutter="0"/>
          <w:cols w:space="720"/>
          <w:noEndnote/>
          <w:docGrid w:linePitch="299"/>
        </w:sectPr>
      </w:pPr>
    </w:p>
    <w:p w:rsidR="00000000" w:rsidRPr="00CD0619" w:rsidP="00CD0619">
      <w:pPr>
        <w:pStyle w:val="SuperHeading"/>
      </w:pPr>
      <w:r w:rsidRPr="00CD0619">
        <w:t>Assessment Requirements for CPCCBC6017 Eval</w:t>
      </w:r>
      <w:r w:rsidRPr="00CD0619">
        <w:t>uate services layout and connection methods for the planning of large building projects</w:t>
      </w:r>
    </w:p>
    <w:p w:rsidR="00000000" w:rsidRPr="00CD0619" w:rsidP="00CD0619">
      <w:pPr>
        <w:pStyle w:val="Heading1"/>
      </w:pPr>
      <w:bookmarkStart w:id="9" w:name="O_1294698"/>
      <w:bookmarkEnd w:id="9"/>
      <w:r w:rsidRPr="00CD0619">
        <w:t>Modification History</w:t>
      </w:r>
    </w:p>
    <w:tbl>
      <w:tblPr>
        <w:tblW w:w="0" w:type="auto"/>
        <w:tblLayout w:type="fixed"/>
        <w:tblCellMar>
          <w:left w:w="62" w:type="dxa"/>
          <w:right w:w="62" w:type="dxa"/>
        </w:tblCellMar>
        <w:tblLook w:val="0000"/>
      </w:tblPr>
      <w:tblGrid>
        <w:gridCol w:w="1128"/>
        <w:gridCol w:w="7944"/>
      </w:tblGrid>
      <w:tr w:rsidTr="00CD06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Release 2</w:t>
            </w:r>
          </w:p>
        </w:tc>
        <w:tc>
          <w:tcPr>
            <w:tcW w:w="7944"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Updated reference to general construction induction training program.</w:t>
            </w:r>
          </w:p>
        </w:tc>
      </w:tr>
      <w:tr w:rsidTr="00CD061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D0619">
            <w:pPr>
              <w:pStyle w:val="BodyText"/>
              <w:rPr>
                <w:lang w:val="en-NZ"/>
              </w:rPr>
            </w:pPr>
            <w:r w:rsidRPr="00CD0619">
              <w:t>Release 1</w:t>
            </w:r>
          </w:p>
        </w:tc>
        <w:tc>
          <w:tcPr>
            <w:tcW w:w="7944" w:type="dxa"/>
            <w:tcBorders>
              <w:top w:val="nil"/>
              <w:left w:val="nil"/>
              <w:bottom w:val="nil"/>
              <w:right w:val="nil"/>
            </w:tcBorders>
            <w:tcMar>
              <w:top w:w="0" w:type="dxa"/>
              <w:left w:w="62" w:type="dxa"/>
              <w:bottom w:w="0" w:type="dxa"/>
              <w:right w:w="62" w:type="dxa"/>
            </w:tcMar>
          </w:tcPr>
          <w:p w:rsidR="00000000" w:rsidRPr="00CD0619" w:rsidP="00CD0619">
            <w:pPr>
              <w:pStyle w:val="BodyText"/>
            </w:pPr>
            <w:r w:rsidRPr="00CD0619">
              <w:t>This version first released with CPC C</w:t>
            </w:r>
            <w:r w:rsidRPr="00CD0619">
              <w:t>onstruction, Plumbing and Services Training Package Release 5.0.</w:t>
            </w:r>
          </w:p>
          <w:p w:rsidR="00000000" w:rsidRPr="00CD0619" w:rsidP="00CD0619">
            <w:pPr>
              <w:pStyle w:val="BodyText"/>
            </w:pPr>
            <w:r w:rsidRPr="00CD0619">
              <w:t>Supersedes and is equivalent to CPCCBC6017A Evaluate services layout and connection methods for the planning of large building projects.  Updated to meet the Standards for Training Packages 2</w:t>
            </w:r>
            <w:r w:rsidRPr="00CD0619">
              <w:t>012.</w:t>
            </w:r>
          </w:p>
        </w:tc>
      </w:tr>
    </w:tbl>
    <w:p w:rsidR="00000000" w:rsidRPr="00CD0619" w:rsidP="00CD0619">
      <w:pPr>
        <w:pStyle w:val="BodyText"/>
      </w:pPr>
    </w:p>
    <w:p w:rsidR="00000000" w:rsidRPr="00CD0619" w:rsidP="00CD0619">
      <w:pPr>
        <w:pStyle w:val="AllowPageBreak"/>
      </w:pPr>
    </w:p>
    <w:p w:rsidR="00000000" w:rsidRPr="00CD0619" w:rsidP="00CD0619">
      <w:pPr>
        <w:pStyle w:val="Heading1"/>
      </w:pPr>
      <w:bookmarkStart w:id="10" w:name="O_1294697"/>
      <w:bookmarkEnd w:id="10"/>
      <w:r w:rsidRPr="00CD0619">
        <w:t>Performance Evidence</w:t>
      </w:r>
    </w:p>
    <w:p w:rsidR="00000000" w:rsidRPr="00CD0619" w:rsidP="00697739">
      <w:pPr>
        <w:pStyle w:val="BodyText"/>
      </w:pPr>
      <w:r w:rsidRPr="00CD0619">
        <w:t xml:space="preserve">To demonstrate competency, a candidate must meet the elements and performance criteria of this unit by evaluating the layout of services and connection methods for the planning of one large building project.  </w:t>
      </w:r>
    </w:p>
    <w:p w:rsidR="00000000" w:rsidRPr="00CD0619" w:rsidP="00697739">
      <w:pPr>
        <w:pStyle w:val="BodyText"/>
      </w:pPr>
      <w:r w:rsidRPr="00CD0619">
        <w:t>In doing this, the candidate must:</w:t>
      </w:r>
    </w:p>
    <w:p w:rsidR="00000000" w:rsidRPr="00CD0619" w:rsidP="00CD0619">
      <w:pPr>
        <w:pStyle w:val="ListBullet"/>
      </w:pPr>
      <w:r w:rsidRPr="00CD0619">
        <w:t>establish the class of building and determine that layout and connection of services meet the requirements of the National Construction Code (NCC) and other relevant standards</w:t>
      </w:r>
    </w:p>
    <w:p w:rsidR="00000000" w:rsidRPr="00CD0619" w:rsidP="00CD0619">
      <w:pPr>
        <w:pStyle w:val="ListBullet"/>
      </w:pPr>
      <w:r w:rsidRPr="00CD0619">
        <w:t>identify any non-compliances, determine solutions and seek advice from relevant professional expertise to meet compliance.</w:t>
      </w:r>
    </w:p>
    <w:p w:rsidR="00000000" w:rsidRPr="00CD0619" w:rsidP="00CD0619">
      <w:pPr>
        <w:pStyle w:val="AllowPageBreak"/>
      </w:pPr>
    </w:p>
    <w:p w:rsidR="00000000" w:rsidRPr="00CD0619" w:rsidP="00CD0619">
      <w:pPr>
        <w:pStyle w:val="Heading1"/>
      </w:pPr>
      <w:bookmarkStart w:id="11" w:name="O_1294696"/>
      <w:bookmarkEnd w:id="11"/>
      <w:r w:rsidRPr="00CD0619">
        <w:t>Knowledge Evidence</w:t>
      </w:r>
    </w:p>
    <w:p w:rsidR="00000000" w:rsidRPr="00CD0619" w:rsidP="00697739">
      <w:pPr>
        <w:pStyle w:val="BodyText"/>
      </w:pPr>
      <w:r w:rsidRPr="00CD0619">
        <w:t>To be competent in this unit, a candidate must demonstrate knowledge of:</w:t>
      </w:r>
    </w:p>
    <w:p w:rsidR="00000000" w:rsidRPr="00CD0619" w:rsidP="00CD0619">
      <w:pPr>
        <w:pStyle w:val="ListBullet"/>
      </w:pPr>
      <w:r w:rsidRPr="00CD0619">
        <w:t>relevant government b</w:t>
      </w:r>
      <w:r w:rsidRPr="00CD0619">
        <w:t>uilding and construction legislation</w:t>
      </w:r>
    </w:p>
    <w:p w:rsidR="00000000" w:rsidRPr="00CD0619" w:rsidP="00CD0619">
      <w:pPr>
        <w:pStyle w:val="ListBullet"/>
      </w:pPr>
      <w:r w:rsidRPr="00CD0619">
        <w:t>the NCC:</w:t>
      </w:r>
    </w:p>
    <w:p w:rsidR="00000000" w:rsidRPr="00CD0619" w:rsidP="00CD0619">
      <w:pPr>
        <w:pStyle w:val="ListBullet2"/>
      </w:pPr>
      <w:r w:rsidRPr="00CD0619">
        <w:t>evidence of suitability</w:t>
      </w:r>
    </w:p>
    <w:p w:rsidR="00000000" w:rsidRPr="00CD0619" w:rsidP="00CD0619">
      <w:pPr>
        <w:pStyle w:val="ListBullet"/>
      </w:pPr>
      <w:r w:rsidRPr="00CD0619">
        <w:t>organisational quality assurance systems</w:t>
      </w:r>
    </w:p>
    <w:p w:rsidR="00000000" w:rsidRPr="00CD0619" w:rsidP="00CD0619">
      <w:pPr>
        <w:pStyle w:val="ListBullet"/>
      </w:pPr>
      <w:r w:rsidRPr="00CD0619">
        <w:t>design concepts and principles in relation to service installations</w:t>
      </w:r>
    </w:p>
    <w:p w:rsidR="00000000" w:rsidRPr="00CD0619" w:rsidP="00CD0619">
      <w:pPr>
        <w:pStyle w:val="ListBullet"/>
      </w:pPr>
      <w:r w:rsidRPr="00CD0619">
        <w:t>hot water system:</w:t>
      </w:r>
    </w:p>
    <w:p w:rsidR="00000000" w:rsidRPr="00CD0619" w:rsidP="00CD0619">
      <w:pPr>
        <w:pStyle w:val="ListBullet2"/>
      </w:pPr>
      <w:r w:rsidRPr="00CD0619">
        <w:t>type of occupancy and area to be serviced</w:t>
      </w:r>
    </w:p>
    <w:p w:rsidR="00000000" w:rsidRPr="00CD0619" w:rsidP="00CD0619">
      <w:pPr>
        <w:pStyle w:val="ListBullet2"/>
      </w:pPr>
      <w:r w:rsidRPr="00CD0619">
        <w:t>type of system</w:t>
      </w:r>
    </w:p>
    <w:p w:rsidR="00000000" w:rsidRPr="00CD0619" w:rsidP="00CD0619">
      <w:pPr>
        <w:pStyle w:val="ListBullet2"/>
      </w:pPr>
      <w:r w:rsidRPr="00CD0619">
        <w:t xml:space="preserve">energy sources available </w:t>
      </w:r>
    </w:p>
    <w:p w:rsidR="00000000" w:rsidRPr="00CD0619" w:rsidP="00CD0619">
      <w:pPr>
        <w:pStyle w:val="ListBullet2"/>
      </w:pPr>
      <w:r w:rsidRPr="00CD0619">
        <w:t>height of installation</w:t>
      </w:r>
    </w:p>
    <w:p w:rsidR="00000000" w:rsidRPr="00CD0619" w:rsidP="00CD0619">
      <w:pPr>
        <w:pStyle w:val="ListBullet"/>
      </w:pPr>
      <w:r w:rsidRPr="00CD0619">
        <w:t>general electrical and electronic service systems:</w:t>
      </w:r>
    </w:p>
    <w:p w:rsidR="00000000" w:rsidRPr="00CD0619" w:rsidP="00CD0619">
      <w:pPr>
        <w:pStyle w:val="ListBullet2"/>
      </w:pPr>
      <w:r w:rsidRPr="00CD0619">
        <w:t>cabling and equipment layout for data, lift controls, power supplies and telecommunications</w:t>
      </w:r>
    </w:p>
    <w:p w:rsidR="00000000" w:rsidRPr="00CD0619" w:rsidP="00CD0619">
      <w:pPr>
        <w:pStyle w:val="ListBullet2"/>
      </w:pPr>
      <w:r w:rsidRPr="00CD0619">
        <w:t>switchroom and substations for electrical supply and distribution</w:t>
      </w:r>
    </w:p>
    <w:p w:rsidR="00000000" w:rsidRPr="00CD0619" w:rsidP="00CD0619">
      <w:pPr>
        <w:pStyle w:val="ListBullet2"/>
      </w:pPr>
      <w:r w:rsidRPr="00CD0619">
        <w:t>emergency lighting and exit signage systems</w:t>
      </w:r>
    </w:p>
    <w:p w:rsidR="00000000" w:rsidRPr="00CD0619" w:rsidP="00CD0619">
      <w:pPr>
        <w:pStyle w:val="ListBullet2"/>
      </w:pPr>
      <w:r w:rsidRPr="00CD0619">
        <w:t>emergency warning and intercommunication systems</w:t>
      </w:r>
    </w:p>
    <w:p w:rsidR="00000000" w:rsidRPr="00CD0619" w:rsidP="00CD0619">
      <w:pPr>
        <w:pStyle w:val="ListBullet2"/>
      </w:pPr>
      <w:r w:rsidRPr="00CD0619">
        <w:t>fire stopping</w:t>
      </w:r>
    </w:p>
    <w:p w:rsidR="00000000" w:rsidRPr="00CD0619" w:rsidP="00CD0619">
      <w:pPr>
        <w:pStyle w:val="ListBullet2"/>
      </w:pPr>
      <w:r w:rsidRPr="00CD0619">
        <w:t>service systems safeguards</w:t>
      </w:r>
    </w:p>
    <w:p w:rsidR="00000000" w:rsidRPr="00CD0619" w:rsidP="00CD0619">
      <w:pPr>
        <w:pStyle w:val="ListBullet2"/>
      </w:pPr>
      <w:r w:rsidRPr="00CD0619">
        <w:t>service systems access for maintenance, repair and exten</w:t>
      </w:r>
      <w:r w:rsidRPr="00CD0619">
        <w:t xml:space="preserve">sion </w:t>
      </w:r>
    </w:p>
    <w:p w:rsidR="00000000" w:rsidRPr="00CD0619" w:rsidP="00CD0619">
      <w:pPr>
        <w:pStyle w:val="ListBullet"/>
      </w:pPr>
      <w:r w:rsidRPr="00CD0619">
        <w:t>lighting system:</w:t>
      </w:r>
    </w:p>
    <w:p w:rsidR="00000000" w:rsidRPr="00CD0619" w:rsidP="00CD0619">
      <w:pPr>
        <w:pStyle w:val="ListBullet2"/>
      </w:pPr>
      <w:r w:rsidRPr="00CD0619">
        <w:t>natural and artificial lighting</w:t>
      </w:r>
    </w:p>
    <w:p w:rsidR="00000000" w:rsidRPr="00CD0619" w:rsidP="00CD0619">
      <w:pPr>
        <w:pStyle w:val="ListBullet2"/>
      </w:pPr>
      <w:r w:rsidRPr="00CD0619">
        <w:t xml:space="preserve">emergency and exit signage </w:t>
      </w:r>
    </w:p>
    <w:p w:rsidR="00000000" w:rsidRPr="00CD0619" w:rsidP="00CD0619">
      <w:pPr>
        <w:pStyle w:val="ListBullet2"/>
      </w:pPr>
      <w:r w:rsidRPr="00CD0619">
        <w:t xml:space="preserve">terminology such as brightness, control of glare, installation of fire stopping, intensity, reflections, </w:t>
      </w:r>
      <w:r w:rsidRPr="00CD0619">
        <w:t>lifespan and locations for installation</w:t>
      </w:r>
    </w:p>
    <w:p w:rsidR="00000000" w:rsidRPr="00CD0619" w:rsidP="00CD0619">
      <w:pPr>
        <w:pStyle w:val="ListBullet"/>
      </w:pPr>
      <w:r w:rsidRPr="00CD0619">
        <w:t>sewerage connections:</w:t>
      </w:r>
    </w:p>
    <w:p w:rsidR="00000000" w:rsidRPr="00CD0619" w:rsidP="00CD0619">
      <w:pPr>
        <w:pStyle w:val="ListBullet2"/>
      </w:pPr>
      <w:r w:rsidRPr="00CD0619">
        <w:t>local authority sewerage drainage system</w:t>
      </w:r>
    </w:p>
    <w:p w:rsidR="00000000" w:rsidRPr="00CD0619" w:rsidP="00CD0619">
      <w:pPr>
        <w:pStyle w:val="ListBullet2"/>
      </w:pPr>
      <w:r w:rsidRPr="00CD0619">
        <w:t>septic or bio-chemical treatment unit</w:t>
      </w:r>
    </w:p>
    <w:p w:rsidR="00000000" w:rsidRPr="00CD0619" w:rsidP="00CD0619">
      <w:pPr>
        <w:pStyle w:val="ListBullet2"/>
      </w:pPr>
      <w:r w:rsidRPr="00CD0619">
        <w:t>graded or vertical discharge pipes</w:t>
      </w:r>
    </w:p>
    <w:p w:rsidR="00000000" w:rsidRPr="00CD0619" w:rsidP="00CD0619">
      <w:pPr>
        <w:pStyle w:val="ListBullet2"/>
      </w:pPr>
      <w:r w:rsidRPr="00CD0619">
        <w:t>inspection shafts and overflow relief gullies (ORGs)</w:t>
      </w:r>
    </w:p>
    <w:p w:rsidR="00000000" w:rsidRPr="00CD0619" w:rsidP="00CD0619">
      <w:pPr>
        <w:pStyle w:val="ListBullet"/>
      </w:pPr>
      <w:r w:rsidRPr="00CD0619">
        <w:t>stormwater:</w:t>
      </w:r>
    </w:p>
    <w:p w:rsidR="00000000" w:rsidRPr="00CD0619" w:rsidP="00CD0619">
      <w:pPr>
        <w:pStyle w:val="ListBullet2"/>
      </w:pPr>
      <w:r w:rsidRPr="00CD0619">
        <w:t>design, installation and disposal</w:t>
      </w:r>
    </w:p>
    <w:p w:rsidR="00000000" w:rsidRPr="00CD0619" w:rsidP="00CD0619">
      <w:pPr>
        <w:pStyle w:val="ListBullet2"/>
      </w:pPr>
      <w:r w:rsidRPr="00CD0619">
        <w:t>connection to local government water drai</w:t>
      </w:r>
      <w:r w:rsidRPr="00CD0619">
        <w:t>ns</w:t>
      </w:r>
    </w:p>
    <w:p w:rsidR="00000000" w:rsidRPr="00CD0619" w:rsidP="00CD0619">
      <w:pPr>
        <w:pStyle w:val="ListBullet2"/>
      </w:pPr>
      <w:r w:rsidRPr="00CD0619">
        <w:t>use of soakage pits and on-site water detection systems</w:t>
      </w:r>
    </w:p>
    <w:p w:rsidR="00000000" w:rsidRPr="00CD0619" w:rsidP="00CD0619">
      <w:pPr>
        <w:pStyle w:val="ListBullet2"/>
      </w:pPr>
      <w:r w:rsidRPr="00CD0619">
        <w:t>size, location and construction requirements for eaves and box gutters</w:t>
      </w:r>
    </w:p>
    <w:p w:rsidR="00000000" w:rsidRPr="00CD0619" w:rsidP="00CD0619">
      <w:pPr>
        <w:pStyle w:val="ListBullet"/>
      </w:pPr>
      <w:r w:rsidRPr="00CD0619">
        <w:t>downpipes and underground or concealed piping</w:t>
      </w:r>
    </w:p>
    <w:p w:rsidR="00000000" w:rsidRPr="00CD0619" w:rsidP="00CD0619">
      <w:pPr>
        <w:pStyle w:val="ListBullet"/>
      </w:pPr>
      <w:r w:rsidRPr="00CD0619">
        <w:t>water supply:</w:t>
      </w:r>
    </w:p>
    <w:p w:rsidR="00000000" w:rsidRPr="00CD0619" w:rsidP="00CD0619">
      <w:pPr>
        <w:pStyle w:val="ListBullet2"/>
      </w:pPr>
      <w:r w:rsidRPr="00CD0619">
        <w:t>town supply</w:t>
      </w:r>
    </w:p>
    <w:p w:rsidR="00000000" w:rsidRPr="00CD0619" w:rsidP="00CD0619">
      <w:pPr>
        <w:pStyle w:val="ListBullet2"/>
      </w:pPr>
      <w:r w:rsidRPr="00CD0619">
        <w:t>tank storage supply relative to public water supply and reservoir heights</w:t>
      </w:r>
    </w:p>
    <w:p w:rsidR="00000000" w:rsidRPr="00CD0619" w:rsidP="00CD0619">
      <w:pPr>
        <w:pStyle w:val="ListBullet2"/>
      </w:pPr>
      <w:r w:rsidRPr="00CD0619">
        <w:t>single and two-stage pumping for multi-function and single function connected services</w:t>
      </w:r>
    </w:p>
    <w:p w:rsidR="00000000" w:rsidRPr="00CD0619" w:rsidP="00CD0619">
      <w:pPr>
        <w:pStyle w:val="ListBullet"/>
      </w:pPr>
      <w:r w:rsidRPr="00CD0619">
        <w:t>mechanical ventilation and air conditioning:</w:t>
      </w:r>
    </w:p>
    <w:p w:rsidR="00000000" w:rsidRPr="00CD0619" w:rsidP="00CD0619">
      <w:pPr>
        <w:pStyle w:val="ListBullet2"/>
      </w:pPr>
      <w:r w:rsidRPr="00CD0619">
        <w:t>air conditioning applications</w:t>
      </w:r>
    </w:p>
    <w:p w:rsidR="00000000" w:rsidRPr="00CD0619" w:rsidP="00CD0619">
      <w:pPr>
        <w:pStyle w:val="ListBullet2"/>
      </w:pPr>
      <w:r w:rsidRPr="00CD0619">
        <w:t xml:space="preserve">air distribution, </w:t>
      </w:r>
      <w:r w:rsidRPr="00CD0619">
        <w:t>including mechanical ventilation requirements for enclosed car parks</w:t>
      </w:r>
    </w:p>
    <w:p w:rsidR="00000000" w:rsidRPr="00CD0619" w:rsidP="00CD0619">
      <w:pPr>
        <w:pStyle w:val="ListBullet2"/>
      </w:pPr>
      <w:r w:rsidRPr="00CD0619">
        <w:t>air filtration, including air filters, ducting and main filter types</w:t>
      </w:r>
    </w:p>
    <w:p w:rsidR="00000000" w:rsidRPr="00CD0619" w:rsidP="00CD0619">
      <w:pPr>
        <w:pStyle w:val="ListBullet2"/>
      </w:pPr>
      <w:r w:rsidRPr="00CD0619">
        <w:t>air intake systems</w:t>
      </w:r>
    </w:p>
    <w:p w:rsidR="00000000" w:rsidRPr="00CD0619" w:rsidP="00CD0619">
      <w:pPr>
        <w:pStyle w:val="ListBullet2"/>
      </w:pPr>
      <w:r w:rsidRPr="00CD0619">
        <w:t>fire dampers</w:t>
      </w:r>
    </w:p>
    <w:p w:rsidR="00000000" w:rsidRPr="00CD0619" w:rsidP="00CD0619">
      <w:pPr>
        <w:pStyle w:val="ListBullet2"/>
      </w:pPr>
      <w:r w:rsidRPr="00CD0619">
        <w:t>fume discharge systems</w:t>
      </w:r>
    </w:p>
    <w:p w:rsidR="00000000" w:rsidRPr="00CD0619" w:rsidP="00CD0619">
      <w:pPr>
        <w:pStyle w:val="ListBullet2"/>
      </w:pPr>
      <w:r w:rsidRPr="00CD0619">
        <w:t>installation of fire stopping</w:t>
      </w:r>
    </w:p>
    <w:p w:rsidR="00000000" w:rsidRPr="00CD0619" w:rsidP="00CD0619">
      <w:pPr>
        <w:pStyle w:val="ListBullet2"/>
      </w:pPr>
      <w:r w:rsidRPr="00CD0619">
        <w:t>smoke control and exhaust systems</w:t>
      </w:r>
    </w:p>
    <w:p w:rsidR="00000000" w:rsidRPr="00CD0619" w:rsidP="00CD0619">
      <w:pPr>
        <w:pStyle w:val="ListBullet2"/>
      </w:pPr>
      <w:r w:rsidRPr="00CD0619">
        <w:t>warm water and cooling towers</w:t>
      </w:r>
    </w:p>
    <w:p w:rsidR="00000000" w:rsidRPr="00CD0619" w:rsidP="00CD0619">
      <w:pPr>
        <w:pStyle w:val="ListBullet"/>
      </w:pPr>
      <w:r w:rsidRPr="00CD0619">
        <w:t>general services installation terminology, definitions and installation methods</w:t>
      </w:r>
    </w:p>
    <w:p w:rsidR="00000000" w:rsidRPr="00CD0619" w:rsidP="00CD0619">
      <w:pPr>
        <w:pStyle w:val="ListBullet"/>
      </w:pPr>
      <w:r w:rsidRPr="00CD0619">
        <w:t>nature of materials and effect of performance</w:t>
      </w:r>
    </w:p>
    <w:p w:rsidR="00000000" w:rsidRPr="00CD0619" w:rsidP="00CD0619">
      <w:pPr>
        <w:pStyle w:val="ListBullet"/>
      </w:pPr>
      <w:r w:rsidRPr="00CD0619">
        <w:t>processes for the interpretation of working drawings and specifications</w:t>
      </w:r>
    </w:p>
    <w:p w:rsidR="00000000" w:rsidRPr="00CD0619" w:rsidP="00CD0619">
      <w:pPr>
        <w:pStyle w:val="ListBullet"/>
      </w:pPr>
      <w:r w:rsidRPr="00CD0619">
        <w:t>construction terminology relating to services installation</w:t>
      </w:r>
    </w:p>
    <w:p w:rsidR="00000000" w:rsidRPr="00CD0619" w:rsidP="00CD0619">
      <w:pPr>
        <w:pStyle w:val="ListBullet"/>
      </w:pPr>
      <w:r w:rsidRPr="00CD0619">
        <w:t>research methods</w:t>
      </w:r>
    </w:p>
    <w:p w:rsidR="00000000" w:rsidRPr="00CD0619" w:rsidP="00CD0619">
      <w:pPr>
        <w:pStyle w:val="ListBullet"/>
      </w:pPr>
      <w:r w:rsidRPr="00CD0619">
        <w:t>processes for the preparation of documentation</w:t>
      </w:r>
    </w:p>
    <w:p w:rsidR="00000000" w:rsidRPr="00CD0619" w:rsidP="00CD0619">
      <w:pPr>
        <w:pStyle w:val="ListBullet"/>
      </w:pPr>
      <w:r w:rsidRPr="00CD0619">
        <w:t>workplace safety requirements.</w:t>
      </w:r>
    </w:p>
    <w:p w:rsidR="00000000" w:rsidRPr="00CD0619" w:rsidP="00CD0619">
      <w:pPr>
        <w:pStyle w:val="AllowPageBreak"/>
      </w:pPr>
    </w:p>
    <w:p w:rsidR="00000000" w:rsidRPr="00CD0619" w:rsidP="00CD0619">
      <w:pPr>
        <w:pStyle w:val="Heading1"/>
      </w:pPr>
      <w:bookmarkStart w:id="12" w:name="O_1294695"/>
      <w:bookmarkEnd w:id="12"/>
      <w:r w:rsidRPr="00CD0619">
        <w:t>Assessment Conditions</w:t>
      </w:r>
    </w:p>
    <w:p w:rsidR="00000000" w:rsidRPr="00CD0619" w:rsidP="00697739">
      <w:pPr>
        <w:pStyle w:val="BodyText"/>
      </w:pPr>
      <w:r w:rsidRPr="00CD0619">
        <w:t xml:space="preserve">Assessors must meet the requirements for assessors contained </w:t>
      </w:r>
      <w:r w:rsidRPr="00CD0619">
        <w:t xml:space="preserve">in the Standards for Registered Training Organisations. </w:t>
      </w:r>
    </w:p>
    <w:p w:rsidR="00000000" w:rsidRPr="00CD0619" w:rsidP="00697739">
      <w:pPr>
        <w:pStyle w:val="BodyText"/>
      </w:pPr>
      <w:r w:rsidRPr="00CD0619">
        <w:t xml:space="preserve">Assessment can be undertaken in the workplace or in a simulated workplace environment. </w:t>
      </w:r>
    </w:p>
    <w:p w:rsidR="00000000" w:rsidRPr="00CD0619" w:rsidP="00697739">
      <w:pPr>
        <w:pStyle w:val="BodyText"/>
      </w:pPr>
      <w:r w:rsidRPr="00CD0619">
        <w:t>A simulated environment is one that realistically replicates workplace conditions, materials and equipment, int</w:t>
      </w:r>
      <w:r w:rsidRPr="00CD0619">
        <w:t xml:space="preserve">eractions with others and workplace irregularities, and which meets industry standards for safety and environmental practices.  </w:t>
      </w:r>
    </w:p>
    <w:p w:rsidR="00000000" w:rsidRPr="00CD0619" w:rsidP="00697739">
      <w:pPr>
        <w:pStyle w:val="BodyText"/>
      </w:pPr>
      <w:r w:rsidRPr="00CD0619">
        <w:t>Candidates must have access to:</w:t>
      </w:r>
    </w:p>
    <w:p w:rsidR="00000000" w:rsidRPr="00CD0619" w:rsidP="00CD0619">
      <w:pPr>
        <w:pStyle w:val="ListBullet"/>
      </w:pPr>
      <w:r w:rsidRPr="00CD0619">
        <w:t>relevant government building legislation codes and standards</w:t>
      </w:r>
    </w:p>
    <w:p w:rsidR="00000000" w:rsidRPr="00CD0619" w:rsidP="00CD0619">
      <w:pPr>
        <w:pStyle w:val="ListBullet"/>
      </w:pPr>
      <w:r w:rsidRPr="00CD0619">
        <w:t>the NCC</w:t>
      </w:r>
    </w:p>
    <w:p w:rsidR="00000000" w:rsidRPr="00CD0619" w:rsidP="00CD0619">
      <w:pPr>
        <w:pStyle w:val="ListBullet"/>
      </w:pPr>
      <w:r w:rsidRPr="00CD0619">
        <w:t xml:space="preserve">environmental and sustainability requirements </w:t>
      </w:r>
    </w:p>
    <w:p w:rsidR="00000000" w:rsidRPr="00CD0619" w:rsidP="00CD0619">
      <w:pPr>
        <w:pStyle w:val="ListBullet"/>
      </w:pPr>
      <w:r w:rsidRPr="00CD0619">
        <w:t>manufacturer specifications and installation instructions</w:t>
      </w:r>
    </w:p>
    <w:p w:rsidR="00000000" w:rsidRPr="00CD0619" w:rsidP="00CD0619">
      <w:pPr>
        <w:pStyle w:val="ListBullet"/>
      </w:pPr>
      <w:r w:rsidRPr="00CD0619">
        <w:t>project plans, working drawings and specifications</w:t>
      </w:r>
    </w:p>
    <w:p w:rsidR="00000000" w:rsidRPr="00CD0619" w:rsidP="00CD0619">
      <w:pPr>
        <w:pStyle w:val="ListBullet"/>
      </w:pPr>
      <w:r w:rsidRPr="00CD0619">
        <w:t>business equipment and technology, applications and software to facilitate effective evaluation of s</w:t>
      </w:r>
      <w:r w:rsidRPr="00CD0619">
        <w:t>ervices layout and connection methods.</w:t>
      </w:r>
    </w:p>
    <w:p w:rsidR="00000000" w:rsidRPr="00CD0619" w:rsidP="00CD0619">
      <w:pPr>
        <w:pStyle w:val="AllowPageBreak"/>
      </w:pPr>
    </w:p>
    <w:p w:rsidR="00000000" w:rsidRPr="00CD0619" w:rsidP="00CD0619">
      <w:pPr>
        <w:pStyle w:val="Heading1"/>
      </w:pPr>
      <w:bookmarkStart w:id="13" w:name="O_1294708"/>
      <w:bookmarkEnd w:id="13"/>
      <w:r w:rsidRPr="00CD0619">
        <w:t>Links</w:t>
      </w:r>
    </w:p>
    <w:p w:rsidR="00000000" w:rsidRPr="00CD0619" w:rsidP="00697739">
      <w:pPr>
        <w:pStyle w:val="BodyText"/>
      </w:pPr>
      <w:r w:rsidRPr="00CD061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4217A">
        <w:rPr>
          <w:rStyle w:val="Hyperlink"/>
        </w:rPr>
        <w:t>https://vetnet.gov.au/Pages/TrainingDocs.aspx?q=7e15fa6a-68b8-4097-b099-030a5569b1ad</w:t>
      </w:r>
      <w:r>
        <w:fldChar w:fldCharType="end"/>
      </w:r>
    </w:p>
    <w:p w:rsidR="00000000" w:rsidRPr="00CD0619" w:rsidP="00CD0619"/>
    <w:sectPr w:rsidSect="00CD06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19" w:rsidRPr="00697739" w:rsidP="00697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9" w:rsidP="00CD06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7739" w:rsidP="00CD06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97739" w:rsidP="00CD06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19" w:rsidP="00CD0619">
    <w:pPr>
      <w:pStyle w:val="Footer"/>
      <w:framePr w:wrap="around"/>
    </w:pPr>
    <w:r>
      <w:fldChar w:fldCharType="begin"/>
    </w:r>
    <w:r>
      <w:instrText xml:space="preserve"> DOCPROPERTY  Subject  \* MERGEFORMAT </w:instrText>
    </w:r>
    <w:r>
      <w:fldChar w:fldCharType="separate"/>
    </w:r>
    <w:r w:rsidR="00697739">
      <w:t>Approved</w:t>
    </w:r>
    <w:r w:rsidR="00697739">
      <w:fldChar w:fldCharType="end"/>
    </w:r>
    <w:r>
      <w:tab/>
      <w:t xml:space="preserve">Page </w:t>
    </w:r>
    <w:r>
      <w:fldChar w:fldCharType="begin"/>
    </w:r>
    <w:r>
      <w:instrText xml:space="preserve"> PAGE  \* Arabic  \* MERGEFORMAT </w:instrText>
    </w:r>
    <w:r>
      <w:fldChar w:fldCharType="separate"/>
    </w:r>
    <w:r w:rsidR="0069773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7739">
      <w:rPr>
        <w:noProof/>
      </w:rPr>
      <w:t>6</w:t>
    </w:r>
    <w:r>
      <w:rPr>
        <w:noProof/>
      </w:rPr>
      <w:fldChar w:fldCharType="end"/>
    </w:r>
  </w:p>
  <w:p w:rsidR="00CD0619" w:rsidP="00CD0619">
    <w:pPr>
      <w:pStyle w:val="Footer"/>
      <w:framePr w:wrap="around"/>
    </w:pPr>
    <w:r>
      <w:t xml:space="preserve">© Commonwealth of Australia, </w:t>
    </w:r>
    <w:r>
      <w:fldChar w:fldCharType="begin"/>
    </w:r>
    <w:r>
      <w:instrText xml:space="preserve"> DATE  \@ "yyyy"  \* MERGEFORMAT </w:instrText>
    </w:r>
    <w:r>
      <w:fldChar w:fldCharType="separate"/>
    </w:r>
    <w:r w:rsidR="00697739">
      <w:rPr>
        <w:noProof/>
      </w:rPr>
      <w:t>2025</w:t>
    </w:r>
    <w:r>
      <w:fldChar w:fldCharType="end"/>
    </w:r>
    <w:r>
      <w:tab/>
    </w:r>
    <w:r>
      <w:fldChar w:fldCharType="begin"/>
    </w:r>
    <w:r>
      <w:instrText xml:space="preserve"> DOCPROPERTY  Author  \* MERGEFORMAT </w:instrText>
    </w:r>
    <w:r>
      <w:fldChar w:fldCharType="separate"/>
    </w:r>
    <w:r w:rsidR="00697739">
      <w:t>BuildSkills Australia</w:t>
    </w:r>
    <w:r w:rsidR="00697739">
      <w:fldChar w:fldCharType="end"/>
    </w:r>
  </w:p>
  <w:p w:rsidR="00CD0619" w:rsidP="00CD06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619" w:rsidRPr="00697739" w:rsidP="006977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9" w:rsidRPr="002D2AF8" w:rsidP="00CD0619">
    <w:pPr>
      <w:pStyle w:val="Header"/>
      <w:framePr w:wrap="around"/>
    </w:pPr>
    <w:r>
      <w:fldChar w:fldCharType="begin"/>
    </w:r>
    <w:r>
      <w:instrText xml:space="preserve"> TITLE   \* MERGEFORMAT </w:instrText>
    </w:r>
    <w:r>
      <w:fldChar w:fldCharType="separate"/>
    </w:r>
    <w:r>
      <w:t>CPCCBC6017 Evaluate services layout and connection methods for the planning of large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97739" w:rsidP="00CD06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619" w:rsidRPr="002D2AF8" w:rsidP="00CD0619">
    <w:pPr>
      <w:pStyle w:val="Header"/>
      <w:framePr w:wrap="around"/>
    </w:pPr>
    <w:r>
      <w:fldChar w:fldCharType="begin"/>
    </w:r>
    <w:r>
      <w:instrText xml:space="preserve"> TITLE   \* MERGEFORMAT </w:instrText>
    </w:r>
    <w:r>
      <w:fldChar w:fldCharType="separate"/>
    </w:r>
    <w:r w:rsidR="00697739">
      <w:t>CPCCBC6017 Evaluate services layout and connection methods for the planning of large building projects</w:t>
    </w:r>
    <w:r w:rsidR="00697739">
      <w:fldChar w:fldCharType="end"/>
    </w:r>
    <w:r>
      <w:tab/>
      <w:t xml:space="preserve">Date this document was generated: </w:t>
    </w:r>
    <w:r>
      <w:fldChar w:fldCharType="begin"/>
    </w:r>
    <w:r>
      <w:instrText xml:space="preserve"> CREATEDATE  \@ "d MMMM yyyy"  \* MERGEFORMAT </w:instrText>
    </w:r>
    <w:r>
      <w:fldChar w:fldCharType="separate"/>
    </w:r>
    <w:r w:rsidR="00697739">
      <w:rPr>
        <w:noProof/>
      </w:rPr>
      <w:t>1 March 2025</w:t>
    </w:r>
    <w:r>
      <w:fldChar w:fldCharType="end"/>
    </w:r>
  </w:p>
  <w:p w:rsidR="00CD0619" w:rsidP="00CD06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229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BA4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1AE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6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619"/>
    <w:pPr>
      <w:spacing w:before="360" w:after="60"/>
      <w:outlineLvl w:val="0"/>
    </w:pPr>
    <w:rPr>
      <w:sz w:val="32"/>
    </w:rPr>
  </w:style>
  <w:style w:type="paragraph" w:styleId="Heading2">
    <w:name w:val="heading 2"/>
    <w:basedOn w:val="HeadingBase"/>
    <w:next w:val="BodyText"/>
    <w:link w:val="Heading2Char"/>
    <w:qFormat/>
    <w:rsid w:val="00CD0619"/>
    <w:pPr>
      <w:keepLines/>
      <w:spacing w:before="240" w:after="120"/>
      <w:outlineLvl w:val="1"/>
    </w:pPr>
    <w:rPr>
      <w:sz w:val="28"/>
      <w:szCs w:val="40"/>
    </w:rPr>
  </w:style>
  <w:style w:type="paragraph" w:styleId="Heading3">
    <w:name w:val="heading 3"/>
    <w:basedOn w:val="HeadingBase"/>
    <w:next w:val="BodyText"/>
    <w:link w:val="Heading3Char"/>
    <w:qFormat/>
    <w:rsid w:val="00CD0619"/>
    <w:pPr>
      <w:spacing w:before="180" w:after="120"/>
      <w:outlineLvl w:val="2"/>
    </w:pPr>
    <w:rPr>
      <w:spacing w:val="-10"/>
      <w:kern w:val="32"/>
    </w:rPr>
  </w:style>
  <w:style w:type="paragraph" w:styleId="Heading4">
    <w:name w:val="heading 4"/>
    <w:basedOn w:val="HeadingBase"/>
    <w:next w:val="BodyText"/>
    <w:link w:val="Heading4Char"/>
    <w:qFormat/>
    <w:rsid w:val="00CD0619"/>
    <w:pPr>
      <w:spacing w:before="160" w:after="120"/>
      <w:outlineLvl w:val="3"/>
    </w:pPr>
    <w:rPr>
      <w:sz w:val="22"/>
    </w:rPr>
  </w:style>
  <w:style w:type="paragraph" w:styleId="Heading5">
    <w:name w:val="heading 5"/>
    <w:basedOn w:val="HeadingBase"/>
    <w:next w:val="Normal"/>
    <w:link w:val="Heading5Char"/>
    <w:qFormat/>
    <w:rsid w:val="00CD0619"/>
    <w:pPr>
      <w:spacing w:before="80"/>
      <w:outlineLvl w:val="4"/>
    </w:pPr>
    <w:rPr>
      <w:color w:val="918585"/>
      <w:sz w:val="20"/>
    </w:rPr>
  </w:style>
  <w:style w:type="paragraph" w:styleId="Heading6">
    <w:name w:val="heading 6"/>
    <w:basedOn w:val="HeadingBase"/>
    <w:next w:val="Normal"/>
    <w:link w:val="Heading6Char"/>
    <w:qFormat/>
    <w:rsid w:val="00CD0619"/>
    <w:pPr>
      <w:spacing w:before="60"/>
      <w:outlineLvl w:val="5"/>
    </w:pPr>
    <w:rPr>
      <w:color w:val="918585"/>
      <w:sz w:val="20"/>
    </w:rPr>
  </w:style>
  <w:style w:type="paragraph" w:styleId="Heading7">
    <w:name w:val="heading 7"/>
    <w:basedOn w:val="Normal"/>
    <w:next w:val="Normal"/>
    <w:link w:val="Heading7Char"/>
    <w:qFormat/>
    <w:rsid w:val="00CD0619"/>
    <w:pPr>
      <w:ind w:left="720"/>
      <w:outlineLvl w:val="6"/>
    </w:pPr>
    <w:rPr>
      <w:i/>
    </w:rPr>
  </w:style>
  <w:style w:type="paragraph" w:styleId="Heading8">
    <w:name w:val="heading 8"/>
    <w:basedOn w:val="Normal"/>
    <w:next w:val="Normal"/>
    <w:link w:val="Heading8Char"/>
    <w:qFormat/>
    <w:rsid w:val="00CD0619"/>
    <w:pPr>
      <w:ind w:left="720"/>
      <w:outlineLvl w:val="7"/>
    </w:pPr>
    <w:rPr>
      <w:i/>
    </w:rPr>
  </w:style>
  <w:style w:type="paragraph" w:styleId="Heading9">
    <w:name w:val="heading 9"/>
    <w:basedOn w:val="Normal"/>
    <w:next w:val="Normal"/>
    <w:link w:val="Heading9Char"/>
    <w:qFormat/>
    <w:rsid w:val="00CD0619"/>
    <w:pPr>
      <w:ind w:left="720"/>
      <w:outlineLvl w:val="8"/>
    </w:pPr>
    <w:rPr>
      <w:i/>
    </w:rPr>
  </w:style>
  <w:style w:type="character" w:default="1" w:styleId="DefaultParagraphFont">
    <w:name w:val="Default Paragraph Font"/>
    <w:uiPriority w:val="1"/>
    <w:unhideWhenUsed/>
    <w:rsid w:val="00CD06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619"/>
  </w:style>
  <w:style w:type="character" w:customStyle="1" w:styleId="Heading1Char">
    <w:name w:val="Heading 1 Char"/>
    <w:basedOn w:val="DefaultParagraphFont"/>
    <w:link w:val="Heading1"/>
    <w:rsid w:val="00CD0619"/>
    <w:rPr>
      <w:rFonts w:ascii="Times New Roman" w:eastAsia="Times New Roman" w:hAnsi="Times New Roman" w:cs="Times New Roman"/>
      <w:b/>
      <w:sz w:val="32"/>
      <w:szCs w:val="20"/>
      <w:lang w:eastAsia="en-US"/>
    </w:rPr>
  </w:style>
  <w:style w:type="paragraph" w:styleId="BodyText">
    <w:name w:val="Body Text"/>
    <w:basedOn w:val="Normal"/>
    <w:link w:val="BodyTextChar"/>
    <w:rsid w:val="00CD06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619"/>
    <w:rPr>
      <w:rFonts w:ascii="Times New Roman" w:eastAsia="Times New Roman" w:hAnsi="Times New Roman" w:cs="Times New Roman"/>
      <w:sz w:val="24"/>
      <w:lang w:eastAsia="en-US"/>
    </w:rPr>
  </w:style>
  <w:style w:type="paragraph" w:styleId="ListBullet">
    <w:name w:val="List Bullet"/>
    <w:basedOn w:val="List"/>
    <w:rsid w:val="00CD0619"/>
    <w:pPr>
      <w:numPr>
        <w:numId w:val="12"/>
      </w:numPr>
      <w:tabs>
        <w:tab w:val="clear" w:pos="340"/>
      </w:tabs>
      <w:spacing w:before="40" w:after="40"/>
    </w:pPr>
  </w:style>
  <w:style w:type="paragraph" w:styleId="ListBullet2">
    <w:name w:val="List Bullet 2"/>
    <w:basedOn w:val="List2"/>
    <w:rsid w:val="00CD0619"/>
    <w:pPr>
      <w:numPr>
        <w:numId w:val="13"/>
      </w:numPr>
      <w:tabs>
        <w:tab w:val="clear" w:pos="680"/>
      </w:tabs>
    </w:pPr>
  </w:style>
  <w:style w:type="character" w:styleId="Emphasis">
    <w:name w:val="Emphasis"/>
    <w:basedOn w:val="DefaultParagraphFont"/>
    <w:qFormat/>
    <w:rsid w:val="00CD0619"/>
    <w:rPr>
      <w:i/>
    </w:rPr>
  </w:style>
  <w:style w:type="paragraph" w:customStyle="1" w:styleId="SuperHeading">
    <w:name w:val="SuperHeading"/>
    <w:basedOn w:val="Normal"/>
    <w:rsid w:val="00CD0619"/>
    <w:pPr>
      <w:spacing w:before="240" w:after="120"/>
      <w:outlineLvl w:val="0"/>
    </w:pPr>
    <w:rPr>
      <w:rFonts w:ascii="Times New Roman" w:hAnsi="Times New Roman"/>
      <w:b/>
      <w:sz w:val="32"/>
    </w:rPr>
  </w:style>
  <w:style w:type="paragraph" w:customStyle="1" w:styleId="AllowPageBreak">
    <w:name w:val="AllowPageBreak"/>
    <w:rsid w:val="00CD06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6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6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6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6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6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6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6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619"/>
    <w:rPr>
      <w:rFonts w:ascii="Courier New" w:eastAsia="Times New Roman" w:hAnsi="Courier New" w:cs="Times New Roman"/>
      <w:i/>
      <w:szCs w:val="20"/>
      <w:lang w:eastAsia="en-US"/>
    </w:rPr>
  </w:style>
  <w:style w:type="paragraph" w:customStyle="1" w:styleId="HeadingBase">
    <w:name w:val="Heading Base"/>
    <w:rsid w:val="00CD06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619"/>
    <w:pPr>
      <w:tabs>
        <w:tab w:val="right" w:leader="dot" w:pos="9072"/>
      </w:tabs>
      <w:ind w:left="567"/>
    </w:pPr>
    <w:rPr>
      <w:szCs w:val="22"/>
    </w:rPr>
  </w:style>
  <w:style w:type="paragraph" w:customStyle="1" w:styleId="TOCBase">
    <w:name w:val="TOC Base"/>
    <w:rsid w:val="00CD06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619"/>
    <w:pPr>
      <w:tabs>
        <w:tab w:val="right" w:leader="dot" w:pos="9072"/>
      </w:tabs>
      <w:spacing w:before="40" w:after="40"/>
      <w:ind w:left="284"/>
    </w:pPr>
    <w:rPr>
      <w:rFonts w:ascii="Times New Roman" w:hAnsi="Times New Roman"/>
    </w:rPr>
  </w:style>
  <w:style w:type="paragraph" w:styleId="TOC1">
    <w:name w:val="toc 1"/>
    <w:basedOn w:val="TOCBase"/>
    <w:next w:val="Normal"/>
    <w:rsid w:val="00CD06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6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619"/>
    <w:rPr>
      <w:rFonts w:ascii="Times New Roman" w:eastAsia="Times New Roman" w:hAnsi="Times New Roman" w:cs="Times New Roman"/>
      <w:sz w:val="16"/>
      <w:lang w:eastAsia="en-US"/>
    </w:rPr>
  </w:style>
  <w:style w:type="paragraph" w:styleId="Title">
    <w:name w:val="Title"/>
    <w:basedOn w:val="HeadingBase"/>
    <w:link w:val="TitleChar"/>
    <w:qFormat/>
    <w:rsid w:val="00CD0619"/>
    <w:pPr>
      <w:spacing w:before="5040"/>
      <w:jc w:val="center"/>
    </w:pPr>
    <w:rPr>
      <w:sz w:val="48"/>
      <w:szCs w:val="72"/>
      <w:lang w:val="en-US"/>
    </w:rPr>
  </w:style>
  <w:style w:type="character" w:customStyle="1" w:styleId="TitleChar">
    <w:name w:val="Title Char"/>
    <w:basedOn w:val="DefaultParagraphFont"/>
    <w:link w:val="Title"/>
    <w:rsid w:val="00CD06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619"/>
    <w:pPr>
      <w:tabs>
        <w:tab w:val="left" w:pos="3600"/>
        <w:tab w:val="left" w:pos="3958"/>
      </w:tabs>
    </w:pPr>
  </w:style>
  <w:style w:type="paragraph" w:styleId="List">
    <w:name w:val="List"/>
    <w:basedOn w:val="BodyText"/>
    <w:next w:val="BodyText"/>
    <w:rsid w:val="00CD0619"/>
    <w:pPr>
      <w:tabs>
        <w:tab w:val="left" w:pos="340"/>
      </w:tabs>
      <w:spacing w:before="60" w:after="60"/>
      <w:ind w:left="340" w:hanging="340"/>
    </w:pPr>
  </w:style>
  <w:style w:type="paragraph" w:customStyle="1" w:styleId="Note">
    <w:name w:val="Note"/>
    <w:basedOn w:val="BodyText"/>
    <w:rsid w:val="00CD06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0619"/>
    <w:rPr>
      <w:b/>
      <w:spacing w:val="0"/>
    </w:rPr>
  </w:style>
  <w:style w:type="paragraph" w:customStyle="1" w:styleId="SuperTitle">
    <w:name w:val="SuperTitle"/>
    <w:basedOn w:val="Title"/>
    <w:rsid w:val="00CD0619"/>
    <w:pPr>
      <w:framePr w:wrap="auto" w:hAnchor="text" w:y="6049"/>
    </w:pPr>
    <w:rPr>
      <w:color w:val="000000"/>
      <w:sz w:val="40"/>
    </w:rPr>
  </w:style>
  <w:style w:type="paragraph" w:customStyle="1" w:styleId="TOCTitle">
    <w:name w:val="TOCTitle"/>
    <w:basedOn w:val="Heading1"/>
    <w:rsid w:val="00CD0619"/>
    <w:pPr>
      <w:spacing w:after="240"/>
      <w:jc w:val="center"/>
      <w:outlineLvl w:val="9"/>
    </w:pPr>
    <w:rPr>
      <w:caps/>
    </w:rPr>
  </w:style>
  <w:style w:type="paragraph" w:customStyle="1" w:styleId="Version">
    <w:name w:val="Version"/>
    <w:rsid w:val="00CD06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619"/>
    <w:pPr>
      <w:keepNext w:val="0"/>
      <w:tabs>
        <w:tab w:val="right" w:pos="4176"/>
      </w:tabs>
      <w:ind w:left="198" w:hanging="198"/>
    </w:pPr>
    <w:rPr>
      <w:rFonts w:ascii="Garamond" w:hAnsi="Garamond"/>
    </w:rPr>
  </w:style>
  <w:style w:type="paragraph" w:styleId="IndexHeading">
    <w:name w:val="index heading"/>
    <w:basedOn w:val="Normal"/>
    <w:next w:val="Index1"/>
    <w:semiHidden/>
    <w:rsid w:val="00CD0619"/>
    <w:pPr>
      <w:spacing w:before="120" w:after="120"/>
    </w:pPr>
    <w:rPr>
      <w:rFonts w:ascii="Arial" w:hAnsi="Arial"/>
      <w:b/>
      <w:color w:val="918585"/>
      <w:sz w:val="24"/>
    </w:rPr>
  </w:style>
  <w:style w:type="paragraph" w:styleId="Header">
    <w:name w:val="header"/>
    <w:basedOn w:val="Normal"/>
    <w:link w:val="HeaderChar"/>
    <w:rsid w:val="00CD06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619"/>
    <w:rPr>
      <w:rFonts w:ascii="Times New Roman" w:eastAsia="Times New Roman" w:hAnsi="Times New Roman" w:cs="Times New Roman"/>
      <w:sz w:val="16"/>
      <w:szCs w:val="20"/>
      <w:lang w:val="en-GB" w:eastAsia="en-US"/>
    </w:rPr>
  </w:style>
  <w:style w:type="paragraph" w:customStyle="1" w:styleId="Chapter">
    <w:name w:val="Chapter"/>
    <w:basedOn w:val="Normal"/>
    <w:rsid w:val="00CD0619"/>
    <w:pPr>
      <w:spacing w:before="240"/>
    </w:pPr>
    <w:rPr>
      <w:rFonts w:ascii="Times New Roman" w:hAnsi="Times New Roman"/>
      <w:smallCaps/>
      <w:spacing w:val="80"/>
      <w:sz w:val="28"/>
    </w:rPr>
  </w:style>
  <w:style w:type="paragraph" w:customStyle="1" w:styleId="InChapter">
    <w:name w:val="InChapter"/>
    <w:basedOn w:val="Heading3"/>
    <w:rsid w:val="00CD0619"/>
    <w:pPr>
      <w:spacing w:after="240"/>
      <w:outlineLvl w:val="9"/>
    </w:pPr>
    <w:rPr>
      <w:noProof/>
    </w:rPr>
  </w:style>
  <w:style w:type="paragraph" w:styleId="Index2">
    <w:name w:val="index 2"/>
    <w:basedOn w:val="Normal"/>
    <w:next w:val="Normal"/>
    <w:semiHidden/>
    <w:rsid w:val="00CD0619"/>
    <w:pPr>
      <w:tabs>
        <w:tab w:val="right" w:pos="4176"/>
      </w:tabs>
      <w:ind w:left="568" w:hanging="284"/>
    </w:pPr>
    <w:rPr>
      <w:rFonts w:ascii="Garamond" w:hAnsi="Garamond"/>
    </w:rPr>
  </w:style>
  <w:style w:type="paragraph" w:customStyle="1" w:styleId="Byline">
    <w:name w:val="Byline"/>
    <w:rsid w:val="00CD06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619"/>
    <w:pPr>
      <w:tabs>
        <w:tab w:val="clear" w:pos="3600"/>
        <w:tab w:val="clear" w:pos="3958"/>
      </w:tabs>
      <w:jc w:val="right"/>
    </w:pPr>
  </w:style>
  <w:style w:type="paragraph" w:styleId="Caption">
    <w:name w:val="caption"/>
    <w:basedOn w:val="BodyText"/>
    <w:next w:val="Normal"/>
    <w:qFormat/>
    <w:rsid w:val="00CD0619"/>
    <w:pPr>
      <w:framePr w:w="2268" w:hSpace="181" w:vSpace="181" w:wrap="around" w:vAnchor="text" w:hAnchor="page" w:x="1135" w:y="285" w:anchorLock="1"/>
    </w:pPr>
    <w:rPr>
      <w:i/>
    </w:rPr>
  </w:style>
  <w:style w:type="paragraph" w:customStyle="1" w:styleId="MiniTOCTitle">
    <w:name w:val="MiniTOCTitle"/>
    <w:basedOn w:val="Heading4"/>
    <w:rsid w:val="00CD0619"/>
    <w:pPr>
      <w:spacing w:before="240"/>
      <w:outlineLvl w:val="9"/>
    </w:pPr>
    <w:rPr>
      <w:noProof/>
      <w:sz w:val="24"/>
    </w:rPr>
  </w:style>
  <w:style w:type="paragraph" w:customStyle="1" w:styleId="MiniTOCItem">
    <w:name w:val="MiniTOCItem"/>
    <w:basedOn w:val="ListBullet"/>
    <w:rsid w:val="00CD0619"/>
    <w:pPr>
      <w:numPr>
        <w:numId w:val="0"/>
      </w:numPr>
      <w:tabs>
        <w:tab w:val="right" w:leader="dot" w:pos="6521"/>
      </w:tabs>
      <w:spacing w:before="0" w:after="0"/>
    </w:pPr>
  </w:style>
  <w:style w:type="paragraph" w:customStyle="1" w:styleId="TOFTitle">
    <w:name w:val="TOFTitle"/>
    <w:basedOn w:val="TOCTitle"/>
    <w:rsid w:val="00CD0619"/>
  </w:style>
  <w:style w:type="paragraph" w:styleId="TableofFigures">
    <w:name w:val="table of figures"/>
    <w:basedOn w:val="Normal"/>
    <w:next w:val="Normal"/>
    <w:semiHidden/>
    <w:rsid w:val="00CD0619"/>
    <w:pPr>
      <w:tabs>
        <w:tab w:val="right" w:leader="dot" w:pos="9072"/>
      </w:tabs>
      <w:ind w:left="970" w:hanging="403"/>
    </w:pPr>
    <w:rPr>
      <w:rFonts w:ascii="Times New Roman" w:hAnsi="Times New Roman"/>
      <w:b/>
    </w:rPr>
  </w:style>
  <w:style w:type="paragraph" w:styleId="ListNumber">
    <w:name w:val="List Number"/>
    <w:basedOn w:val="List"/>
    <w:rsid w:val="00CD0619"/>
    <w:pPr>
      <w:numPr>
        <w:numId w:val="15"/>
      </w:numPr>
      <w:tabs>
        <w:tab w:val="clear" w:pos="340"/>
      </w:tabs>
    </w:pPr>
  </w:style>
  <w:style w:type="character" w:customStyle="1" w:styleId="WingdingSymbols">
    <w:name w:val="Wingding Symbols"/>
    <w:rsid w:val="00CD0619"/>
    <w:rPr>
      <w:rFonts w:ascii="Wingdings" w:hAnsi="Wingdings"/>
    </w:rPr>
  </w:style>
  <w:style w:type="paragraph" w:customStyle="1" w:styleId="TableHeading">
    <w:name w:val="Table Heading"/>
    <w:basedOn w:val="HeadingBase"/>
    <w:rsid w:val="00CD0619"/>
    <w:pPr>
      <w:keepLines/>
      <w:pBdr>
        <w:bottom w:val="single" w:sz="6" w:space="1" w:color="918585"/>
      </w:pBdr>
      <w:spacing w:before="240"/>
    </w:pPr>
  </w:style>
  <w:style w:type="character" w:customStyle="1" w:styleId="HotSpot">
    <w:name w:val="HotSpot"/>
    <w:rsid w:val="00CD0619"/>
    <w:rPr>
      <w:color w:val="0033CC"/>
      <w:u w:val="none"/>
    </w:rPr>
  </w:style>
  <w:style w:type="paragraph" w:customStyle="1" w:styleId="BodyTextRight">
    <w:name w:val="Body Text Right"/>
    <w:basedOn w:val="BodyText"/>
    <w:rsid w:val="00CD0619"/>
    <w:pPr>
      <w:spacing w:before="0" w:after="0"/>
      <w:jc w:val="right"/>
    </w:pPr>
  </w:style>
  <w:style w:type="paragraph" w:styleId="Index3">
    <w:name w:val="index 3"/>
    <w:basedOn w:val="ListNumber2"/>
    <w:next w:val="Normal"/>
    <w:semiHidden/>
    <w:rsid w:val="00CD0619"/>
    <w:pPr>
      <w:numPr>
        <w:numId w:val="0"/>
      </w:numPr>
      <w:tabs>
        <w:tab w:val="right" w:leader="dot" w:pos="4176"/>
      </w:tabs>
    </w:pPr>
  </w:style>
  <w:style w:type="paragraph" w:styleId="ListNumber2">
    <w:name w:val="List Number 2"/>
    <w:basedOn w:val="List2"/>
    <w:rsid w:val="00CD0619"/>
    <w:pPr>
      <w:numPr>
        <w:numId w:val="10"/>
      </w:numPr>
      <w:tabs>
        <w:tab w:val="clear" w:pos="1060"/>
      </w:tabs>
    </w:pPr>
  </w:style>
  <w:style w:type="paragraph" w:customStyle="1" w:styleId="MarginNote">
    <w:name w:val="Margin Note"/>
    <w:basedOn w:val="BodyText"/>
    <w:rsid w:val="00CD06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6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6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619"/>
    <w:rPr>
      <w:sz w:val="32"/>
    </w:rPr>
  </w:style>
  <w:style w:type="paragraph" w:customStyle="1" w:styleId="HeadingProcedure">
    <w:name w:val="Heading Procedure"/>
    <w:basedOn w:val="HeadingBase"/>
    <w:next w:val="Normal"/>
    <w:rsid w:val="00CD0619"/>
    <w:pPr>
      <w:tabs>
        <w:tab w:val="left" w:pos="0"/>
      </w:tabs>
      <w:spacing w:before="120" w:after="60"/>
    </w:pPr>
    <w:rPr>
      <w:i/>
      <w:color w:val="918585"/>
      <w:sz w:val="22"/>
    </w:rPr>
  </w:style>
  <w:style w:type="paragraph" w:customStyle="1" w:styleId="TableBodyText">
    <w:name w:val="Table Body Text"/>
    <w:basedOn w:val="BodyText"/>
    <w:rsid w:val="00CD0619"/>
    <w:pPr>
      <w:spacing w:before="60" w:after="60"/>
    </w:pPr>
  </w:style>
  <w:style w:type="paragraph" w:styleId="ListContinue">
    <w:name w:val="List Continue"/>
    <w:basedOn w:val="List"/>
    <w:rsid w:val="00CD0619"/>
    <w:pPr>
      <w:ind w:firstLine="0"/>
    </w:pPr>
  </w:style>
  <w:style w:type="paragraph" w:customStyle="1" w:styleId="ListNote">
    <w:name w:val="List Note"/>
    <w:basedOn w:val="List"/>
    <w:rsid w:val="00CD0619"/>
    <w:pPr>
      <w:pBdr>
        <w:top w:val="single" w:sz="6" w:space="2" w:color="918585"/>
        <w:bottom w:val="single" w:sz="6" w:space="2" w:color="918585"/>
      </w:pBdr>
      <w:tabs>
        <w:tab w:val="left" w:pos="1021"/>
      </w:tabs>
      <w:ind w:firstLine="0"/>
    </w:pPr>
  </w:style>
  <w:style w:type="paragraph" w:customStyle="1" w:styleId="Warning">
    <w:name w:val="Warning"/>
    <w:basedOn w:val="BodyText"/>
    <w:rsid w:val="00CD0619"/>
    <w:pPr>
      <w:shd w:val="clear" w:color="auto" w:fill="D9D9D9"/>
      <w:tabs>
        <w:tab w:val="left" w:pos="992"/>
      </w:tabs>
      <w:ind w:left="119" w:right="119"/>
    </w:pPr>
    <w:rPr>
      <w:sz w:val="20"/>
    </w:rPr>
  </w:style>
  <w:style w:type="paragraph" w:customStyle="1" w:styleId="MarginIcons">
    <w:name w:val="Margin Icons"/>
    <w:basedOn w:val="BodyText"/>
    <w:rsid w:val="00CD06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619"/>
    <w:rPr>
      <w:rFonts w:ascii="Courier New" w:hAnsi="Courier New"/>
    </w:rPr>
  </w:style>
  <w:style w:type="paragraph" w:customStyle="1" w:styleId="NoteBullet">
    <w:name w:val="Note Bullet"/>
    <w:basedOn w:val="Note"/>
    <w:rsid w:val="00CD0619"/>
    <w:pPr>
      <w:tabs>
        <w:tab w:val="clear" w:pos="680"/>
      </w:tabs>
      <w:spacing w:before="60" w:after="60"/>
    </w:pPr>
  </w:style>
  <w:style w:type="paragraph" w:customStyle="1" w:styleId="SubHeading2">
    <w:name w:val="SubHeading2"/>
    <w:basedOn w:val="HeadingBase"/>
    <w:rsid w:val="00CD0619"/>
    <w:pPr>
      <w:spacing w:before="240" w:after="60"/>
    </w:pPr>
    <w:rPr>
      <w:sz w:val="20"/>
    </w:rPr>
  </w:style>
  <w:style w:type="paragraph" w:customStyle="1" w:styleId="SubHeading1">
    <w:name w:val="SubHeading1"/>
    <w:basedOn w:val="HeadingBase"/>
    <w:rsid w:val="00CD0619"/>
    <w:pPr>
      <w:spacing w:before="240" w:after="60"/>
    </w:pPr>
    <w:rPr>
      <w:color w:val="918585"/>
      <w:sz w:val="22"/>
    </w:rPr>
  </w:style>
  <w:style w:type="paragraph" w:customStyle="1" w:styleId="SideHeading">
    <w:name w:val="Side Heading"/>
    <w:basedOn w:val="HeadingBase"/>
    <w:rsid w:val="00CD06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619"/>
    <w:pPr>
      <w:tabs>
        <w:tab w:val="num" w:pos="360"/>
      </w:tabs>
    </w:pPr>
  </w:style>
  <w:style w:type="paragraph" w:styleId="PlainText">
    <w:name w:val="Plain Text"/>
    <w:basedOn w:val="Normal"/>
    <w:link w:val="PlainTextChar"/>
    <w:rsid w:val="00CD0619"/>
    <w:rPr>
      <w:sz w:val="20"/>
    </w:rPr>
  </w:style>
  <w:style w:type="character" w:customStyle="1" w:styleId="PlainTextChar">
    <w:name w:val="Plain Text Char"/>
    <w:basedOn w:val="DefaultParagraphFont"/>
    <w:link w:val="PlainText"/>
    <w:rsid w:val="00CD0619"/>
    <w:rPr>
      <w:rFonts w:ascii="Courier New" w:eastAsia="Times New Roman" w:hAnsi="Courier New" w:cs="Times New Roman"/>
      <w:sz w:val="20"/>
      <w:szCs w:val="20"/>
      <w:lang w:eastAsia="en-US"/>
    </w:rPr>
  </w:style>
  <w:style w:type="character" w:customStyle="1" w:styleId="MenuOption">
    <w:name w:val="Menu Option"/>
    <w:basedOn w:val="DefaultParagraphFont"/>
    <w:rsid w:val="00CD0619"/>
    <w:rPr>
      <w:b/>
      <w:smallCaps/>
    </w:rPr>
  </w:style>
  <w:style w:type="paragraph" w:customStyle="1" w:styleId="TableListNumber">
    <w:name w:val="Table List Number"/>
    <w:basedOn w:val="ListNumber"/>
    <w:rsid w:val="00CD0619"/>
    <w:pPr>
      <w:numPr>
        <w:numId w:val="0"/>
      </w:numPr>
    </w:pPr>
  </w:style>
  <w:style w:type="paragraph" w:styleId="TOC4">
    <w:name w:val="toc 4"/>
    <w:basedOn w:val="TOCBase"/>
    <w:next w:val="Normal"/>
    <w:semiHidden/>
    <w:rsid w:val="00CD0619"/>
    <w:pPr>
      <w:tabs>
        <w:tab w:val="right" w:leader="dot" w:pos="9071"/>
      </w:tabs>
      <w:ind w:left="1701"/>
    </w:pPr>
  </w:style>
  <w:style w:type="paragraph" w:customStyle="1" w:styleId="ListAlpha">
    <w:name w:val="List Alpha"/>
    <w:basedOn w:val="List"/>
    <w:rsid w:val="00CD0619"/>
    <w:pPr>
      <w:numPr>
        <w:numId w:val="9"/>
      </w:numPr>
    </w:pPr>
  </w:style>
  <w:style w:type="paragraph" w:customStyle="1" w:styleId="ListAlpha2">
    <w:name w:val="List Alpha 2"/>
    <w:basedOn w:val="List2"/>
    <w:rsid w:val="00CD0619"/>
    <w:pPr>
      <w:numPr>
        <w:numId w:val="8"/>
      </w:numPr>
    </w:pPr>
  </w:style>
  <w:style w:type="paragraph" w:styleId="List2">
    <w:name w:val="List 2"/>
    <w:basedOn w:val="BodyText"/>
    <w:rsid w:val="00CD0619"/>
    <w:pPr>
      <w:tabs>
        <w:tab w:val="left" w:pos="680"/>
      </w:tabs>
      <w:spacing w:before="60" w:after="60"/>
      <w:ind w:left="680" w:hanging="340"/>
    </w:pPr>
  </w:style>
  <w:style w:type="paragraph" w:styleId="List3">
    <w:name w:val="List 3"/>
    <w:basedOn w:val="BodyText"/>
    <w:rsid w:val="00CD0619"/>
    <w:pPr>
      <w:tabs>
        <w:tab w:val="left" w:pos="1021"/>
      </w:tabs>
      <w:spacing w:before="60" w:after="60"/>
      <w:ind w:left="1020" w:hanging="340"/>
    </w:pPr>
  </w:style>
  <w:style w:type="paragraph" w:styleId="List4">
    <w:name w:val="List 4"/>
    <w:basedOn w:val="BodyText"/>
    <w:rsid w:val="00CD0619"/>
    <w:pPr>
      <w:tabs>
        <w:tab w:val="left" w:pos="1361"/>
      </w:tabs>
      <w:spacing w:before="60" w:after="60"/>
      <w:ind w:left="1361" w:hanging="340"/>
    </w:pPr>
  </w:style>
  <w:style w:type="paragraph" w:styleId="List5">
    <w:name w:val="List 5"/>
    <w:basedOn w:val="BodyText"/>
    <w:rsid w:val="00CD0619"/>
    <w:pPr>
      <w:tabs>
        <w:tab w:val="left" w:pos="1701"/>
      </w:tabs>
      <w:spacing w:before="60" w:after="60"/>
      <w:ind w:left="1701" w:hanging="340"/>
    </w:pPr>
  </w:style>
  <w:style w:type="paragraph" w:styleId="ListBullet3">
    <w:name w:val="List Bullet 3"/>
    <w:basedOn w:val="List3"/>
    <w:rsid w:val="00CD0619"/>
    <w:pPr>
      <w:numPr>
        <w:numId w:val="14"/>
      </w:numPr>
      <w:tabs>
        <w:tab w:val="clear" w:pos="1021"/>
      </w:tabs>
      <w:ind w:left="1037" w:hanging="357"/>
    </w:pPr>
  </w:style>
  <w:style w:type="paragraph" w:styleId="ListBullet4">
    <w:name w:val="List Bullet 4"/>
    <w:basedOn w:val="List4"/>
    <w:rsid w:val="00CD0619"/>
    <w:pPr>
      <w:numPr>
        <w:numId w:val="3"/>
      </w:numPr>
      <w:tabs>
        <w:tab w:val="clear" w:pos="1361"/>
      </w:tabs>
    </w:pPr>
  </w:style>
  <w:style w:type="paragraph" w:styleId="ListBullet5">
    <w:name w:val="List Bullet 5"/>
    <w:basedOn w:val="List5"/>
    <w:rsid w:val="00CD0619"/>
    <w:pPr>
      <w:numPr>
        <w:numId w:val="4"/>
      </w:numPr>
    </w:pPr>
  </w:style>
  <w:style w:type="paragraph" w:styleId="ListContinue2">
    <w:name w:val="List Continue 2"/>
    <w:basedOn w:val="List2"/>
    <w:rsid w:val="00CD0619"/>
    <w:pPr>
      <w:ind w:firstLine="0"/>
    </w:pPr>
  </w:style>
  <w:style w:type="paragraph" w:styleId="ListContinue3">
    <w:name w:val="List Continue 3"/>
    <w:basedOn w:val="List3"/>
    <w:rsid w:val="00CD0619"/>
    <w:pPr>
      <w:ind w:left="1021" w:firstLine="0"/>
    </w:pPr>
  </w:style>
  <w:style w:type="paragraph" w:styleId="ListContinue4">
    <w:name w:val="List Continue 4"/>
    <w:basedOn w:val="List4"/>
    <w:rsid w:val="00CD0619"/>
    <w:pPr>
      <w:ind w:firstLine="0"/>
    </w:pPr>
  </w:style>
  <w:style w:type="paragraph" w:styleId="ListContinue5">
    <w:name w:val="List Continue 5"/>
    <w:basedOn w:val="List5"/>
    <w:rsid w:val="00CD0619"/>
    <w:pPr>
      <w:ind w:firstLine="0"/>
    </w:pPr>
  </w:style>
  <w:style w:type="paragraph" w:styleId="ListNumber3">
    <w:name w:val="List Number 3"/>
    <w:basedOn w:val="List3"/>
    <w:rsid w:val="00CD0619"/>
    <w:pPr>
      <w:numPr>
        <w:numId w:val="5"/>
      </w:numPr>
    </w:pPr>
  </w:style>
  <w:style w:type="paragraph" w:styleId="ListNumber4">
    <w:name w:val="List Number 4"/>
    <w:basedOn w:val="List4"/>
    <w:rsid w:val="00CD0619"/>
    <w:pPr>
      <w:numPr>
        <w:numId w:val="6"/>
      </w:numPr>
    </w:pPr>
  </w:style>
  <w:style w:type="paragraph" w:styleId="ListNumber5">
    <w:name w:val="List Number 5"/>
    <w:basedOn w:val="List5"/>
    <w:rsid w:val="00CD0619"/>
    <w:pPr>
      <w:numPr>
        <w:numId w:val="7"/>
      </w:numPr>
    </w:pPr>
  </w:style>
  <w:style w:type="paragraph" w:styleId="BlockText">
    <w:name w:val="Block Text"/>
    <w:basedOn w:val="Normal"/>
    <w:rsid w:val="00CD0619"/>
    <w:pPr>
      <w:spacing w:after="120"/>
      <w:ind w:left="1440" w:right="1440"/>
    </w:pPr>
  </w:style>
  <w:style w:type="character" w:customStyle="1" w:styleId="Subscript">
    <w:name w:val="Subscript"/>
    <w:basedOn w:val="DefaultParagraphFont"/>
    <w:rsid w:val="00CD0619"/>
    <w:rPr>
      <w:sz w:val="16"/>
      <w:vertAlign w:val="subscript"/>
    </w:rPr>
  </w:style>
  <w:style w:type="character" w:customStyle="1" w:styleId="Superscript">
    <w:name w:val="Superscript"/>
    <w:basedOn w:val="DefaultParagraphFont"/>
    <w:rsid w:val="00CD0619"/>
    <w:rPr>
      <w:sz w:val="16"/>
      <w:vertAlign w:val="superscript"/>
    </w:rPr>
  </w:style>
  <w:style w:type="character" w:customStyle="1" w:styleId="Symbols">
    <w:name w:val="Symbols"/>
    <w:basedOn w:val="DefaultParagraphFont"/>
    <w:rsid w:val="00CD0619"/>
    <w:rPr>
      <w:rFonts w:ascii="Symbol" w:hAnsi="Symbol"/>
    </w:rPr>
  </w:style>
  <w:style w:type="character" w:customStyle="1" w:styleId="MenuOptions">
    <w:name w:val="Menu Options"/>
    <w:basedOn w:val="DefaultParagraphFont"/>
    <w:rsid w:val="00CD0619"/>
    <w:rPr>
      <w:rFonts w:ascii="Arial Narrow" w:hAnsi="Arial Narrow"/>
      <w:smallCaps/>
    </w:rPr>
  </w:style>
  <w:style w:type="character" w:customStyle="1" w:styleId="Buttons">
    <w:name w:val="Buttons"/>
    <w:basedOn w:val="DefaultParagraphFont"/>
    <w:rsid w:val="00CD0619"/>
    <w:rPr>
      <w:b/>
    </w:rPr>
  </w:style>
  <w:style w:type="character" w:customStyle="1" w:styleId="Underlined">
    <w:name w:val="Underlined"/>
    <w:basedOn w:val="DefaultParagraphFont"/>
    <w:rsid w:val="00CD0619"/>
    <w:rPr>
      <w:u w:val="single"/>
    </w:rPr>
  </w:style>
  <w:style w:type="paragraph" w:customStyle="1" w:styleId="TableBodyTextRight">
    <w:name w:val="Table Body Text Right"/>
    <w:basedOn w:val="TableBodyText"/>
    <w:rsid w:val="00CD0619"/>
    <w:pPr>
      <w:widowControl w:val="0"/>
      <w:autoSpaceDE w:val="0"/>
      <w:autoSpaceDN w:val="0"/>
      <w:adjustRightInd w:val="0"/>
      <w:jc w:val="right"/>
    </w:pPr>
    <w:rPr>
      <w:rFonts w:cs="Arial"/>
      <w:szCs w:val="18"/>
    </w:rPr>
  </w:style>
  <w:style w:type="paragraph" w:customStyle="1" w:styleId="CopyrightText">
    <w:name w:val="Copyright Text"/>
    <w:basedOn w:val="BodyText"/>
    <w:rsid w:val="00CD0619"/>
    <w:rPr>
      <w:sz w:val="18"/>
    </w:rPr>
  </w:style>
  <w:style w:type="paragraph" w:customStyle="1" w:styleId="BodySmallRight">
    <w:name w:val="Body Small Right"/>
    <w:basedOn w:val="BodyTextRight"/>
    <w:rsid w:val="00CD0619"/>
    <w:rPr>
      <w:sz w:val="18"/>
      <w:szCs w:val="18"/>
    </w:rPr>
  </w:style>
  <w:style w:type="paragraph" w:customStyle="1" w:styleId="MarginEdition">
    <w:name w:val="Margin Edition"/>
    <w:basedOn w:val="MarginNote"/>
    <w:rsid w:val="00CD0619"/>
    <w:pPr>
      <w:spacing w:before="0" w:after="0"/>
    </w:pPr>
    <w:rPr>
      <w:rFonts w:ascii="Times New Roman" w:hAnsi="Times New Roman"/>
      <w:color w:val="999999"/>
    </w:rPr>
  </w:style>
  <w:style w:type="paragraph" w:customStyle="1" w:styleId="Spacer">
    <w:name w:val="Spacer"/>
    <w:basedOn w:val="Normal"/>
    <w:rsid w:val="00CD0619"/>
    <w:rPr>
      <w:sz w:val="2"/>
      <w:szCs w:val="2"/>
    </w:rPr>
  </w:style>
  <w:style w:type="character" w:customStyle="1" w:styleId="Small">
    <w:name w:val="Small"/>
    <w:basedOn w:val="DefaultParagraphFont"/>
    <w:rsid w:val="00CD0619"/>
    <w:rPr>
      <w:sz w:val="16"/>
    </w:rPr>
  </w:style>
  <w:style w:type="paragraph" w:customStyle="1" w:styleId="WideTable">
    <w:name w:val="Wide Table"/>
    <w:basedOn w:val="Normal"/>
    <w:rsid w:val="00CD0619"/>
    <w:pPr>
      <w:ind w:left="-1418"/>
    </w:pPr>
    <w:rPr>
      <w:sz w:val="2"/>
      <w:szCs w:val="2"/>
    </w:rPr>
  </w:style>
  <w:style w:type="character" w:styleId="PageNumber">
    <w:name w:val="page number"/>
    <w:basedOn w:val="DefaultParagraphFont"/>
    <w:rsid w:val="00CD0619"/>
  </w:style>
  <w:style w:type="paragraph" w:styleId="Quote">
    <w:name w:val="Quote"/>
    <w:basedOn w:val="Heading1"/>
    <w:link w:val="QuoteChar"/>
    <w:qFormat/>
    <w:rsid w:val="00CD0619"/>
    <w:rPr>
      <w:b w:val="0"/>
      <w:sz w:val="72"/>
      <w:szCs w:val="72"/>
      <w:lang w:val="en-NZ"/>
    </w:rPr>
  </w:style>
  <w:style w:type="character" w:customStyle="1" w:styleId="QuoteChar">
    <w:name w:val="Quote Char"/>
    <w:basedOn w:val="DefaultParagraphFont"/>
    <w:link w:val="Quote"/>
    <w:rsid w:val="00CD06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619"/>
    <w:pPr>
      <w:pageBreakBefore/>
    </w:pPr>
  </w:style>
  <w:style w:type="paragraph" w:customStyle="1" w:styleId="Border">
    <w:name w:val="Border"/>
    <w:basedOn w:val="Normal"/>
    <w:qFormat/>
    <w:rsid w:val="00CD06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619"/>
    <w:rPr>
      <w:b/>
      <w:bCs/>
      <w:i/>
      <w:iCs/>
      <w:color w:val="auto"/>
    </w:rPr>
  </w:style>
  <w:style w:type="paragraph" w:styleId="IntenseQuote">
    <w:name w:val="Intense Quote"/>
    <w:basedOn w:val="Normal"/>
    <w:next w:val="Normal"/>
    <w:link w:val="IntenseQuoteChar"/>
    <w:uiPriority w:val="30"/>
    <w:qFormat/>
    <w:rsid w:val="00CD06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6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619"/>
    <w:rPr>
      <w:smallCaps/>
      <w:color w:val="auto"/>
      <w:u w:val="single"/>
    </w:rPr>
  </w:style>
  <w:style w:type="character" w:styleId="IntenseReference">
    <w:name w:val="Intense Reference"/>
    <w:basedOn w:val="DefaultParagraphFont"/>
    <w:uiPriority w:val="32"/>
    <w:qFormat/>
    <w:rsid w:val="00CD0619"/>
    <w:rPr>
      <w:b/>
      <w:bCs/>
      <w:smallCaps/>
      <w:color w:val="auto"/>
      <w:spacing w:val="5"/>
      <w:u w:val="single"/>
    </w:rPr>
  </w:style>
  <w:style w:type="paragraph" w:customStyle="1" w:styleId="2ColumnHeading">
    <w:name w:val="2Column Heading"/>
    <w:basedOn w:val="BodyText"/>
    <w:qFormat/>
    <w:rsid w:val="00CD0619"/>
    <w:pPr>
      <w:spacing w:after="60"/>
      <w:ind w:left="-2268"/>
    </w:pPr>
    <w:rPr>
      <w:b/>
    </w:rPr>
  </w:style>
  <w:style w:type="paragraph" w:customStyle="1" w:styleId="Heading1TOC">
    <w:name w:val="Heading1 TOC"/>
    <w:basedOn w:val="Normal"/>
    <w:qFormat/>
    <w:rsid w:val="00CD0619"/>
    <w:pPr>
      <w:spacing w:before="240" w:after="120"/>
    </w:pPr>
    <w:rPr>
      <w:rFonts w:ascii="Times New Roman" w:hAnsi="Times New Roman"/>
      <w:b/>
      <w:sz w:val="32"/>
    </w:rPr>
  </w:style>
  <w:style w:type="paragraph" w:customStyle="1" w:styleId="Heading2TOC">
    <w:name w:val="Heading2 TOC"/>
    <w:basedOn w:val="Normal"/>
    <w:qFormat/>
    <w:rsid w:val="00CD0619"/>
    <w:pPr>
      <w:spacing w:before="240" w:after="60"/>
    </w:pPr>
    <w:rPr>
      <w:rFonts w:ascii="Times New Roman" w:hAnsi="Times New Roman"/>
      <w:b/>
      <w:sz w:val="28"/>
    </w:rPr>
  </w:style>
  <w:style w:type="character" w:customStyle="1" w:styleId="Underline">
    <w:name w:val="Underline"/>
    <w:basedOn w:val="DefaultParagraphFont"/>
    <w:qFormat/>
    <w:rsid w:val="00CD0619"/>
    <w:rPr>
      <w:u w:val="single"/>
    </w:rPr>
  </w:style>
  <w:style w:type="character" w:customStyle="1" w:styleId="BoldandItalics">
    <w:name w:val="Bold and Italics"/>
    <w:qFormat/>
    <w:rsid w:val="00CD0619"/>
    <w:rPr>
      <w:b/>
      <w:i/>
      <w:u w:val="none"/>
    </w:rPr>
  </w:style>
  <w:style w:type="paragraph" w:styleId="BalloonText">
    <w:name w:val="Balloon Text"/>
    <w:basedOn w:val="Normal"/>
    <w:link w:val="BalloonTextChar"/>
    <w:rsid w:val="00CD0619"/>
    <w:rPr>
      <w:rFonts w:ascii="Tahoma" w:hAnsi="Tahoma" w:cs="Tahoma"/>
      <w:sz w:val="16"/>
      <w:szCs w:val="16"/>
    </w:rPr>
  </w:style>
  <w:style w:type="character" w:customStyle="1" w:styleId="BalloonTextChar">
    <w:name w:val="Balloon Text Char"/>
    <w:basedOn w:val="DefaultParagraphFont"/>
    <w:link w:val="BalloonText"/>
    <w:rsid w:val="00CD06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6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6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619"/>
    <w:rPr>
      <w:b/>
      <w:color w:val="660033"/>
      <w:spacing w:val="0"/>
    </w:rPr>
  </w:style>
  <w:style w:type="paragraph" w:customStyle="1" w:styleId="Nameditemlist">
    <w:name w:val="Named item list"/>
    <w:basedOn w:val="BodyText"/>
    <w:qFormat/>
    <w:rsid w:val="00CD0619"/>
    <w:pPr>
      <w:tabs>
        <w:tab w:val="left" w:pos="2835"/>
      </w:tabs>
      <w:ind w:left="2835" w:hanging="2835"/>
    </w:pPr>
  </w:style>
  <w:style w:type="paragraph" w:customStyle="1" w:styleId="BodyTextnopadding">
    <w:name w:val="Body Text no padding"/>
    <w:basedOn w:val="BodyText"/>
    <w:qFormat/>
    <w:rsid w:val="00CD0619"/>
    <w:pPr>
      <w:spacing w:before="0" w:after="0"/>
    </w:pPr>
  </w:style>
  <w:style w:type="paragraph" w:customStyle="1" w:styleId="BodyTextBold">
    <w:name w:val="Body Text Bold"/>
    <w:basedOn w:val="BodyText"/>
    <w:qFormat/>
    <w:rsid w:val="00CD0619"/>
    <w:rPr>
      <w:b/>
    </w:rPr>
  </w:style>
  <w:style w:type="character" w:styleId="Hyperlink">
    <w:name w:val="Hyperlink"/>
    <w:basedOn w:val="DefaultParagraphFont"/>
    <w:uiPriority w:val="99"/>
    <w:unhideWhenUsed/>
    <w:rsid w:val="006977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1511</Words>
  <Characters>9795</Characters>
  <Application>Microsoft Office Word</Application>
  <DocSecurity>0</DocSecurity>
  <Lines>362</Lines>
  <Paragraphs>213</Paragraphs>
  <ScaleCrop>false</ScaleCrop>
  <Company>Author-it Software Corporation Ltd.</Company>
  <LinksUpToDate>false</LinksUpToDate>
  <CharactersWithSpaces>11093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CPCCBC6017 Evaluate services layout and connection methods for the planning of large building projects</dc:title>
  <dc:subject>Approved</dc:subject>
  <dc:creator>BuildSkills Australia</dc:creator>
  <cp:keywords>Release: 2</cp:keywords>
  <dc:description>Review Date: 12 April 2008</dc:description>
  <cp:lastModifiedBy>HSD_TPCMSd.prod</cp:lastModifiedBy>
  <cp:revision>3</cp:revision>
  <dcterms:created xsi:type="dcterms:W3CDTF">2025-03-01T08:33:00Z</dcterms:created>
  <dcterms:modified xsi:type="dcterms:W3CDTF">2025-03-01T08:34:00Z</dcterms:modified>
</cp:coreProperties>
</file>