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6B34" w:rsidP="00F26B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CPCCBC6017 Evaluate services layout and connection methods for the planning of large building projects</w:t>
      </w:r>
      <w:r>
        <w:fldChar w:fldCharType="end"/>
      </w:r>
    </w:p>
    <w:p w:rsidR="00F26B34" w:rsidP="00F26B34">
      <w:pPr>
        <w:pStyle w:val="Version"/>
        <w:sectPr w:rsidSect="009562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56295" w:rsidP="00956295">
      <w:pPr>
        <w:pStyle w:val="SuperHeading"/>
      </w:pPr>
      <w:r w:rsidRPr="00956295">
        <w:t>Assessment Requirements for CPCCBC6017 Evaluate services layout and connection methods for the planning of large building projects</w:t>
      </w:r>
    </w:p>
    <w:p w:rsidR="00000000" w:rsidRPr="00956295" w:rsidP="00956295">
      <w:pPr>
        <w:pStyle w:val="Heading1"/>
      </w:pPr>
      <w:bookmarkStart w:id="1" w:name="O_1294698"/>
      <w:bookmarkEnd w:id="1"/>
      <w:r w:rsidRPr="009562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562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295">
            <w:pPr>
              <w:pStyle w:val="BodyText"/>
              <w:rPr>
                <w:lang w:val="en-NZ"/>
              </w:rPr>
            </w:pPr>
            <w:r w:rsidRPr="0095629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295">
            <w:pPr>
              <w:pStyle w:val="BodyText"/>
              <w:rPr>
                <w:lang w:val="en-NZ"/>
              </w:rPr>
            </w:pPr>
            <w:r w:rsidRPr="00956295">
              <w:t>Updated reference to general construction induction training program.</w:t>
            </w:r>
          </w:p>
        </w:tc>
      </w:tr>
      <w:tr w:rsidTr="009562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295">
            <w:pPr>
              <w:pStyle w:val="BodyText"/>
              <w:rPr>
                <w:lang w:val="en-NZ"/>
              </w:rPr>
            </w:pPr>
            <w:r w:rsidRPr="0095629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295" w:rsidP="00956295">
            <w:pPr>
              <w:pStyle w:val="BodyText"/>
            </w:pPr>
            <w:r w:rsidRPr="00956295">
              <w:t>This version first released with CPC Construction, Plumbing and Services Training Package Release 5.0.</w:t>
            </w:r>
          </w:p>
          <w:p w:rsidR="00000000" w:rsidRPr="00956295" w:rsidP="00956295">
            <w:pPr>
              <w:pStyle w:val="BodyText"/>
            </w:pPr>
            <w:r w:rsidRPr="00956295">
              <w:t>Supersedes and is equivalent to CPCCBC6017A Evaluate services layout and connection methods for the planning of large building projects.  Updat</w:t>
            </w:r>
            <w:r w:rsidRPr="00956295">
              <w:t>ed to meet the Standards for Training Packages 2012.</w:t>
            </w:r>
          </w:p>
        </w:tc>
      </w:tr>
    </w:tbl>
    <w:p w:rsidR="00000000" w:rsidRPr="00956295" w:rsidP="00956295">
      <w:pPr>
        <w:pStyle w:val="BodyText"/>
      </w:pPr>
    </w:p>
    <w:p w:rsidR="00000000" w:rsidRPr="00956295" w:rsidP="00956295">
      <w:pPr>
        <w:pStyle w:val="AllowPageBreak"/>
      </w:pPr>
    </w:p>
    <w:p w:rsidR="00000000" w:rsidRPr="00956295" w:rsidP="00956295">
      <w:pPr>
        <w:pStyle w:val="Heading1"/>
      </w:pPr>
      <w:bookmarkStart w:id="2" w:name="O_1294697"/>
      <w:bookmarkEnd w:id="2"/>
      <w:r w:rsidRPr="00956295">
        <w:t>Performance Evidence</w:t>
      </w:r>
    </w:p>
    <w:p w:rsidR="00000000" w:rsidRPr="00956295" w:rsidP="00F26B34">
      <w:pPr>
        <w:pStyle w:val="BodyText"/>
      </w:pPr>
      <w:r w:rsidRPr="00956295">
        <w:t>To demonstrate competency, a candidate must meet the elements and performance criteria of this unit by evaluating the layout of services and connection methods f</w:t>
      </w:r>
      <w:r w:rsidRPr="00956295">
        <w:t xml:space="preserve">or the planning of one large building project.  </w:t>
      </w:r>
    </w:p>
    <w:p w:rsidR="00000000" w:rsidRPr="00956295" w:rsidP="00F26B34">
      <w:pPr>
        <w:pStyle w:val="BodyText"/>
      </w:pPr>
      <w:r w:rsidRPr="00956295">
        <w:t>In doing this, the candidate must:</w:t>
      </w:r>
    </w:p>
    <w:p w:rsidR="00000000" w:rsidRPr="00956295" w:rsidP="00956295">
      <w:pPr>
        <w:pStyle w:val="ListBullet"/>
      </w:pPr>
      <w:r w:rsidRPr="00956295">
        <w:t>establish the class of building and determine that layout and connection of services meet the requirements of the National Construction Code (NCC) and other relevant stand</w:t>
      </w:r>
      <w:r w:rsidRPr="00956295">
        <w:t>ards</w:t>
      </w:r>
    </w:p>
    <w:p w:rsidR="00000000" w:rsidRPr="00956295" w:rsidP="00956295">
      <w:pPr>
        <w:pStyle w:val="ListBullet"/>
      </w:pPr>
      <w:r w:rsidRPr="00956295">
        <w:t>identify any non-compliances, determine solutions and seek advice from relevant professional expertise to meet compliance.</w:t>
      </w:r>
    </w:p>
    <w:p w:rsidR="00000000" w:rsidRPr="00956295" w:rsidP="00956295">
      <w:pPr>
        <w:pStyle w:val="AllowPageBreak"/>
      </w:pPr>
    </w:p>
    <w:p w:rsidR="00000000" w:rsidRPr="00956295" w:rsidP="00956295">
      <w:pPr>
        <w:pStyle w:val="Heading1"/>
      </w:pPr>
      <w:bookmarkStart w:id="3" w:name="O_1294696"/>
      <w:bookmarkEnd w:id="3"/>
      <w:r w:rsidRPr="00956295">
        <w:t>Knowledge Evidence</w:t>
      </w:r>
    </w:p>
    <w:p w:rsidR="00000000" w:rsidRPr="00956295" w:rsidP="00F26B34">
      <w:pPr>
        <w:pStyle w:val="BodyText"/>
      </w:pPr>
      <w:r w:rsidRPr="00956295">
        <w:t>To be competent in this unit, a candidate must demonstrate knowledge of:</w:t>
      </w:r>
    </w:p>
    <w:p w:rsidR="00000000" w:rsidRPr="00956295" w:rsidP="00956295">
      <w:pPr>
        <w:pStyle w:val="ListBullet"/>
      </w:pPr>
      <w:r w:rsidRPr="00956295">
        <w:t>relevant government building and construction legislation</w:t>
      </w:r>
    </w:p>
    <w:p w:rsidR="00000000" w:rsidRPr="00956295" w:rsidP="00956295">
      <w:pPr>
        <w:pStyle w:val="ListBullet"/>
      </w:pPr>
      <w:r w:rsidRPr="00956295">
        <w:t>the NCC:</w:t>
      </w:r>
    </w:p>
    <w:p w:rsidR="00000000" w:rsidRPr="00956295" w:rsidP="00956295">
      <w:pPr>
        <w:pStyle w:val="ListBullet2"/>
      </w:pPr>
      <w:r w:rsidRPr="00956295">
        <w:t>evidence of suitability</w:t>
      </w:r>
    </w:p>
    <w:p w:rsidR="00000000" w:rsidRPr="00956295" w:rsidP="00956295">
      <w:pPr>
        <w:pStyle w:val="ListBullet"/>
      </w:pPr>
      <w:r w:rsidRPr="00956295">
        <w:t>organisational quality assurance systems</w:t>
      </w:r>
    </w:p>
    <w:p w:rsidR="00000000" w:rsidRPr="00956295" w:rsidP="00956295">
      <w:pPr>
        <w:pStyle w:val="ListBullet"/>
      </w:pPr>
      <w:r w:rsidRPr="00956295">
        <w:t>design concepts and principles in relation to service installations</w:t>
      </w:r>
    </w:p>
    <w:p w:rsidR="00000000" w:rsidRPr="00956295" w:rsidP="00956295">
      <w:pPr>
        <w:pStyle w:val="ListBullet"/>
      </w:pPr>
      <w:r w:rsidRPr="00956295">
        <w:t>hot water system:</w:t>
      </w:r>
    </w:p>
    <w:p w:rsidR="00000000" w:rsidRPr="00956295" w:rsidP="00956295">
      <w:pPr>
        <w:pStyle w:val="ListBullet2"/>
      </w:pPr>
      <w:r w:rsidRPr="00956295">
        <w:t>type of occupancy and area to be se</w:t>
      </w:r>
      <w:r w:rsidRPr="00956295">
        <w:t>rviced</w:t>
      </w:r>
    </w:p>
    <w:p w:rsidR="00000000" w:rsidRPr="00956295" w:rsidP="00956295">
      <w:pPr>
        <w:pStyle w:val="ListBullet2"/>
      </w:pPr>
      <w:r w:rsidRPr="00956295">
        <w:t>type of system</w:t>
      </w:r>
    </w:p>
    <w:p w:rsidR="00000000" w:rsidRPr="00956295" w:rsidP="00956295">
      <w:pPr>
        <w:pStyle w:val="ListBullet2"/>
      </w:pPr>
      <w:r w:rsidRPr="00956295">
        <w:t xml:space="preserve">energy sources available </w:t>
      </w:r>
    </w:p>
    <w:p w:rsidR="00000000" w:rsidRPr="00956295" w:rsidP="00956295">
      <w:pPr>
        <w:pStyle w:val="ListBullet2"/>
      </w:pPr>
      <w:r w:rsidRPr="00956295">
        <w:t>height of installation</w:t>
      </w:r>
    </w:p>
    <w:p w:rsidR="00000000" w:rsidRPr="00956295" w:rsidP="00956295">
      <w:pPr>
        <w:pStyle w:val="ListBullet"/>
      </w:pPr>
      <w:r w:rsidRPr="00956295">
        <w:t>general electrical and electronic service systems:</w:t>
      </w:r>
    </w:p>
    <w:p w:rsidR="00000000" w:rsidRPr="00956295" w:rsidP="00956295">
      <w:pPr>
        <w:pStyle w:val="ListBullet2"/>
      </w:pPr>
      <w:r w:rsidRPr="00956295">
        <w:t>cabling and equipment layout for data, lift controls, power supplies and telecommunications</w:t>
      </w:r>
    </w:p>
    <w:p w:rsidR="00000000" w:rsidRPr="00956295" w:rsidP="00956295">
      <w:pPr>
        <w:pStyle w:val="ListBullet2"/>
      </w:pPr>
      <w:r w:rsidRPr="00956295">
        <w:t>switchroom and substations for electrical supply and distribution</w:t>
      </w:r>
    </w:p>
    <w:p w:rsidR="00000000" w:rsidRPr="00956295" w:rsidP="00956295">
      <w:pPr>
        <w:pStyle w:val="ListBullet2"/>
      </w:pPr>
      <w:r w:rsidRPr="00956295">
        <w:t>emergency lighting and exit signage systems</w:t>
      </w:r>
    </w:p>
    <w:p w:rsidR="00000000" w:rsidRPr="00956295" w:rsidP="00956295">
      <w:pPr>
        <w:pStyle w:val="ListBullet2"/>
      </w:pPr>
      <w:r w:rsidRPr="00956295">
        <w:t>emergency warning and intercommunication systems</w:t>
      </w:r>
    </w:p>
    <w:p w:rsidR="00000000" w:rsidRPr="00956295" w:rsidP="00956295">
      <w:pPr>
        <w:pStyle w:val="ListBullet2"/>
      </w:pPr>
      <w:r w:rsidRPr="00956295">
        <w:t>fire stopping</w:t>
      </w:r>
    </w:p>
    <w:p w:rsidR="00000000" w:rsidRPr="00956295" w:rsidP="00956295">
      <w:pPr>
        <w:pStyle w:val="ListBullet2"/>
      </w:pPr>
      <w:r w:rsidRPr="00956295">
        <w:t>service systems safeguards</w:t>
      </w:r>
    </w:p>
    <w:p w:rsidR="00000000" w:rsidRPr="00956295" w:rsidP="00956295">
      <w:pPr>
        <w:pStyle w:val="ListBullet2"/>
      </w:pPr>
      <w:r w:rsidRPr="00956295">
        <w:t>service systems access for maintenance, repair and exten</w:t>
      </w:r>
      <w:r w:rsidRPr="00956295">
        <w:t xml:space="preserve">sion </w:t>
      </w:r>
    </w:p>
    <w:p w:rsidR="00000000" w:rsidRPr="00956295" w:rsidP="00956295">
      <w:pPr>
        <w:pStyle w:val="ListBullet"/>
      </w:pPr>
      <w:r w:rsidRPr="00956295">
        <w:t>lighting system:</w:t>
      </w:r>
    </w:p>
    <w:p w:rsidR="00000000" w:rsidRPr="00956295" w:rsidP="00956295">
      <w:pPr>
        <w:pStyle w:val="ListBullet2"/>
      </w:pPr>
      <w:r w:rsidRPr="00956295">
        <w:t>natural and artificial lighting</w:t>
      </w:r>
    </w:p>
    <w:p w:rsidR="00000000" w:rsidRPr="00956295" w:rsidP="00956295">
      <w:pPr>
        <w:pStyle w:val="ListBullet2"/>
      </w:pPr>
      <w:r w:rsidRPr="00956295">
        <w:t xml:space="preserve">emergency and exit signage </w:t>
      </w:r>
    </w:p>
    <w:p w:rsidR="00000000" w:rsidRPr="00956295" w:rsidP="00956295">
      <w:pPr>
        <w:pStyle w:val="ListBullet2"/>
      </w:pPr>
      <w:r w:rsidRPr="00956295">
        <w:t>terminology such as brightness, control of glare, installation of fire stopping, intensity, reflections, lifespan and locations for installation</w:t>
      </w:r>
    </w:p>
    <w:p w:rsidR="00000000" w:rsidRPr="00956295" w:rsidP="00956295">
      <w:pPr>
        <w:pStyle w:val="ListBullet"/>
      </w:pPr>
      <w:r w:rsidRPr="00956295">
        <w:t>sewerage connections:</w:t>
      </w:r>
    </w:p>
    <w:p w:rsidR="00000000" w:rsidRPr="00956295" w:rsidP="00956295">
      <w:pPr>
        <w:pStyle w:val="ListBullet2"/>
      </w:pPr>
      <w:r w:rsidRPr="00956295">
        <w:t>local authority sewerage drainage system</w:t>
      </w:r>
    </w:p>
    <w:p w:rsidR="00000000" w:rsidRPr="00956295" w:rsidP="00956295">
      <w:pPr>
        <w:pStyle w:val="ListBullet2"/>
      </w:pPr>
      <w:r w:rsidRPr="00956295">
        <w:t>septic or bio-chemical treatment unit</w:t>
      </w:r>
    </w:p>
    <w:p w:rsidR="00000000" w:rsidRPr="00956295" w:rsidP="00956295">
      <w:pPr>
        <w:pStyle w:val="ListBullet2"/>
      </w:pPr>
      <w:r w:rsidRPr="00956295">
        <w:t>graded or vertical discharge pipes</w:t>
      </w:r>
    </w:p>
    <w:p w:rsidR="00000000" w:rsidRPr="00956295" w:rsidP="00956295">
      <w:pPr>
        <w:pStyle w:val="ListBullet2"/>
      </w:pPr>
      <w:r w:rsidRPr="00956295">
        <w:t>inspection shafts and overflow relief gullies (ORGs)</w:t>
      </w:r>
    </w:p>
    <w:p w:rsidR="00000000" w:rsidRPr="00956295" w:rsidP="00956295">
      <w:pPr>
        <w:pStyle w:val="ListBullet"/>
      </w:pPr>
      <w:r w:rsidRPr="00956295">
        <w:t>stormwater:</w:t>
      </w:r>
    </w:p>
    <w:p w:rsidR="00000000" w:rsidRPr="00956295" w:rsidP="00956295">
      <w:pPr>
        <w:pStyle w:val="ListBullet2"/>
      </w:pPr>
      <w:r w:rsidRPr="00956295">
        <w:t>design, installation and disposal</w:t>
      </w:r>
    </w:p>
    <w:p w:rsidR="00000000" w:rsidRPr="00956295" w:rsidP="00956295">
      <w:pPr>
        <w:pStyle w:val="ListBullet2"/>
      </w:pPr>
      <w:r w:rsidRPr="00956295">
        <w:t>connection to local government water drai</w:t>
      </w:r>
      <w:r w:rsidRPr="00956295">
        <w:t>ns</w:t>
      </w:r>
    </w:p>
    <w:p w:rsidR="00000000" w:rsidRPr="00956295" w:rsidP="00956295">
      <w:pPr>
        <w:pStyle w:val="ListBullet2"/>
      </w:pPr>
      <w:r w:rsidRPr="00956295">
        <w:t>use of soakage pits and on-site water detection systems</w:t>
      </w:r>
    </w:p>
    <w:p w:rsidR="00000000" w:rsidRPr="00956295" w:rsidP="00956295">
      <w:pPr>
        <w:pStyle w:val="ListBullet2"/>
      </w:pPr>
      <w:r w:rsidRPr="00956295">
        <w:t>size, location and construction requirements for eaves and box gutters</w:t>
      </w:r>
    </w:p>
    <w:p w:rsidR="00000000" w:rsidRPr="00956295" w:rsidP="00956295">
      <w:pPr>
        <w:pStyle w:val="ListBullet"/>
      </w:pPr>
      <w:r w:rsidRPr="00956295">
        <w:t>downpipes and underground or concealed piping</w:t>
      </w:r>
    </w:p>
    <w:p w:rsidR="00000000" w:rsidRPr="00956295" w:rsidP="00956295">
      <w:pPr>
        <w:pStyle w:val="ListBullet"/>
      </w:pPr>
      <w:r w:rsidRPr="00956295">
        <w:t>water supply:</w:t>
      </w:r>
    </w:p>
    <w:p w:rsidR="00000000" w:rsidRPr="00956295" w:rsidP="00956295">
      <w:pPr>
        <w:pStyle w:val="ListBullet2"/>
      </w:pPr>
      <w:r w:rsidRPr="00956295">
        <w:t>town supply</w:t>
      </w:r>
    </w:p>
    <w:p w:rsidR="00000000" w:rsidRPr="00956295" w:rsidP="00956295">
      <w:pPr>
        <w:pStyle w:val="ListBullet2"/>
      </w:pPr>
      <w:r w:rsidRPr="00956295">
        <w:t>tank storage supply relative to public water supply and reservoir heights</w:t>
      </w:r>
    </w:p>
    <w:p w:rsidR="00000000" w:rsidRPr="00956295" w:rsidP="00956295">
      <w:pPr>
        <w:pStyle w:val="ListBullet2"/>
      </w:pPr>
      <w:r w:rsidRPr="00956295">
        <w:t>single and two-stage pumping for multi-function and single function connected services</w:t>
      </w:r>
    </w:p>
    <w:p w:rsidR="00000000" w:rsidRPr="00956295" w:rsidP="00956295">
      <w:pPr>
        <w:pStyle w:val="ListBullet"/>
      </w:pPr>
      <w:r w:rsidRPr="00956295">
        <w:t>mechanical ventilation and air conditioning:</w:t>
      </w:r>
    </w:p>
    <w:p w:rsidR="00000000" w:rsidRPr="00956295" w:rsidP="00956295">
      <w:pPr>
        <w:pStyle w:val="ListBullet2"/>
      </w:pPr>
      <w:r w:rsidRPr="00956295">
        <w:t>air conditioning applications</w:t>
      </w:r>
    </w:p>
    <w:p w:rsidR="00000000" w:rsidRPr="00956295" w:rsidP="00956295">
      <w:pPr>
        <w:pStyle w:val="ListBullet2"/>
      </w:pPr>
      <w:r w:rsidRPr="00956295">
        <w:t xml:space="preserve">air distribution, </w:t>
      </w:r>
      <w:r w:rsidRPr="00956295">
        <w:t>including mechanical ventilation requirements for enclosed car parks</w:t>
      </w:r>
    </w:p>
    <w:p w:rsidR="00000000" w:rsidRPr="00956295" w:rsidP="00956295">
      <w:pPr>
        <w:pStyle w:val="ListBullet2"/>
      </w:pPr>
      <w:r w:rsidRPr="00956295">
        <w:t>air filtration, including air filters, ducting and main filter types</w:t>
      </w:r>
    </w:p>
    <w:p w:rsidR="00000000" w:rsidRPr="00956295" w:rsidP="00956295">
      <w:pPr>
        <w:pStyle w:val="ListBullet2"/>
      </w:pPr>
      <w:r w:rsidRPr="00956295">
        <w:t>air intake systems</w:t>
      </w:r>
    </w:p>
    <w:p w:rsidR="00000000" w:rsidRPr="00956295" w:rsidP="00956295">
      <w:pPr>
        <w:pStyle w:val="ListBullet2"/>
      </w:pPr>
      <w:r w:rsidRPr="00956295">
        <w:t>fire dampers</w:t>
      </w:r>
    </w:p>
    <w:p w:rsidR="00000000" w:rsidRPr="00956295" w:rsidP="00956295">
      <w:pPr>
        <w:pStyle w:val="ListBullet2"/>
      </w:pPr>
      <w:r w:rsidRPr="00956295">
        <w:t>fume discharge systems</w:t>
      </w:r>
    </w:p>
    <w:p w:rsidR="00000000" w:rsidRPr="00956295" w:rsidP="00956295">
      <w:pPr>
        <w:pStyle w:val="ListBullet2"/>
      </w:pPr>
      <w:r w:rsidRPr="00956295">
        <w:t>installation of fire stopping</w:t>
      </w:r>
    </w:p>
    <w:p w:rsidR="00000000" w:rsidRPr="00956295" w:rsidP="00956295">
      <w:pPr>
        <w:pStyle w:val="ListBullet2"/>
      </w:pPr>
      <w:r w:rsidRPr="00956295">
        <w:t>smoke control and exhaust systems</w:t>
      </w:r>
    </w:p>
    <w:p w:rsidR="00000000" w:rsidRPr="00956295" w:rsidP="00956295">
      <w:pPr>
        <w:pStyle w:val="ListBullet2"/>
      </w:pPr>
      <w:r w:rsidRPr="00956295">
        <w:t>warm water and cooling towers</w:t>
      </w:r>
    </w:p>
    <w:p w:rsidR="00000000" w:rsidRPr="00956295" w:rsidP="00956295">
      <w:pPr>
        <w:pStyle w:val="ListBullet"/>
      </w:pPr>
      <w:r w:rsidRPr="00956295">
        <w:t>general services installation terminology, definitions and installation methods</w:t>
      </w:r>
    </w:p>
    <w:p w:rsidR="00000000" w:rsidRPr="00956295" w:rsidP="00956295">
      <w:pPr>
        <w:pStyle w:val="ListBullet"/>
      </w:pPr>
      <w:r w:rsidRPr="00956295">
        <w:t>nature of materials and effect of performance</w:t>
      </w:r>
    </w:p>
    <w:p w:rsidR="00000000" w:rsidRPr="00956295" w:rsidP="00956295">
      <w:pPr>
        <w:pStyle w:val="ListBullet"/>
      </w:pPr>
      <w:r w:rsidRPr="00956295">
        <w:t>processes for the interpretation of working drawings and specifications</w:t>
      </w:r>
    </w:p>
    <w:p w:rsidR="00000000" w:rsidRPr="00956295" w:rsidP="00956295">
      <w:pPr>
        <w:pStyle w:val="ListBullet"/>
      </w:pPr>
      <w:r w:rsidRPr="00956295">
        <w:t>construction terminology relating to services installation</w:t>
      </w:r>
    </w:p>
    <w:p w:rsidR="00000000" w:rsidRPr="00956295" w:rsidP="00956295">
      <w:pPr>
        <w:pStyle w:val="ListBullet"/>
      </w:pPr>
      <w:r w:rsidRPr="00956295">
        <w:t>research methods</w:t>
      </w:r>
    </w:p>
    <w:p w:rsidR="00000000" w:rsidRPr="00956295" w:rsidP="00956295">
      <w:pPr>
        <w:pStyle w:val="ListBullet"/>
      </w:pPr>
      <w:r w:rsidRPr="00956295">
        <w:t>processes for the preparation of documentation</w:t>
      </w:r>
    </w:p>
    <w:p w:rsidR="00000000" w:rsidRPr="00956295" w:rsidP="00956295">
      <w:pPr>
        <w:pStyle w:val="ListBullet"/>
      </w:pPr>
      <w:r w:rsidRPr="00956295">
        <w:t>workplace safety requirements.</w:t>
      </w:r>
    </w:p>
    <w:p w:rsidR="00000000" w:rsidRPr="00956295" w:rsidP="00956295">
      <w:pPr>
        <w:pStyle w:val="AllowPageBreak"/>
      </w:pPr>
    </w:p>
    <w:p w:rsidR="00000000" w:rsidRPr="00956295" w:rsidP="00956295">
      <w:pPr>
        <w:pStyle w:val="Heading1"/>
      </w:pPr>
      <w:bookmarkStart w:id="4" w:name="O_1294695"/>
      <w:bookmarkEnd w:id="4"/>
      <w:r w:rsidRPr="00956295">
        <w:t>Assessment Conditions</w:t>
      </w:r>
    </w:p>
    <w:p w:rsidR="00000000" w:rsidRPr="00956295" w:rsidP="00F26B34">
      <w:pPr>
        <w:pStyle w:val="BodyText"/>
      </w:pPr>
      <w:r w:rsidRPr="00956295">
        <w:t xml:space="preserve">Assessors must meet the requirements for assessors contained </w:t>
      </w:r>
      <w:r w:rsidRPr="00956295">
        <w:t xml:space="preserve">in the Standards for Registered Training Organisations. </w:t>
      </w:r>
    </w:p>
    <w:p w:rsidR="00000000" w:rsidRPr="00956295" w:rsidP="00F26B34">
      <w:pPr>
        <w:pStyle w:val="BodyText"/>
      </w:pPr>
      <w:r w:rsidRPr="00956295">
        <w:t xml:space="preserve">Assessment can be undertaken in the workplace or in a simulated workplace environment. </w:t>
      </w:r>
    </w:p>
    <w:p w:rsidR="00000000" w:rsidRPr="00956295" w:rsidP="00F26B34">
      <w:pPr>
        <w:pStyle w:val="BodyText"/>
      </w:pPr>
      <w:r w:rsidRPr="00956295">
        <w:t>A simulated environment is one that realistically replicates workplace conditions, materials and equipment, int</w:t>
      </w:r>
      <w:r w:rsidRPr="00956295">
        <w:t xml:space="preserve">eractions with others and workplace irregularities, and which meets industry standards for safety and environmental practices.  </w:t>
      </w:r>
    </w:p>
    <w:p w:rsidR="00000000" w:rsidRPr="00956295" w:rsidP="00F26B34">
      <w:pPr>
        <w:pStyle w:val="BodyText"/>
      </w:pPr>
      <w:r w:rsidRPr="00956295">
        <w:t>Candidates must have access to:</w:t>
      </w:r>
    </w:p>
    <w:p w:rsidR="00000000" w:rsidRPr="00956295" w:rsidP="00956295">
      <w:pPr>
        <w:pStyle w:val="ListBullet"/>
      </w:pPr>
      <w:r w:rsidRPr="00956295">
        <w:t>relevant government building legislation codes and standards</w:t>
      </w:r>
    </w:p>
    <w:p w:rsidR="00000000" w:rsidRPr="00956295" w:rsidP="00956295">
      <w:pPr>
        <w:pStyle w:val="ListBullet"/>
      </w:pPr>
      <w:r w:rsidRPr="00956295">
        <w:t>the NCC</w:t>
      </w:r>
    </w:p>
    <w:p w:rsidR="00000000" w:rsidRPr="00956295" w:rsidP="00956295">
      <w:pPr>
        <w:pStyle w:val="ListBullet"/>
      </w:pPr>
      <w:r w:rsidRPr="00956295">
        <w:t xml:space="preserve">environmental and sustainability requirements </w:t>
      </w:r>
    </w:p>
    <w:p w:rsidR="00000000" w:rsidRPr="00956295" w:rsidP="00956295">
      <w:pPr>
        <w:pStyle w:val="ListBullet"/>
      </w:pPr>
      <w:r w:rsidRPr="00956295">
        <w:t>manufacturer specifications and installation instructions</w:t>
      </w:r>
    </w:p>
    <w:p w:rsidR="00000000" w:rsidRPr="00956295" w:rsidP="00956295">
      <w:pPr>
        <w:pStyle w:val="ListBullet"/>
      </w:pPr>
      <w:r w:rsidRPr="00956295">
        <w:t>project plans, working drawings and specifications</w:t>
      </w:r>
    </w:p>
    <w:p w:rsidR="00000000" w:rsidRPr="00956295" w:rsidP="00956295">
      <w:pPr>
        <w:pStyle w:val="ListBullet"/>
      </w:pPr>
      <w:r w:rsidRPr="00956295">
        <w:t>business equipment and technology, applications and software to facilitate effective evaluation of s</w:t>
      </w:r>
      <w:r w:rsidRPr="00956295">
        <w:t>ervices layout and connection methods.</w:t>
      </w:r>
    </w:p>
    <w:p w:rsidR="00000000" w:rsidRPr="00956295" w:rsidP="00956295">
      <w:pPr>
        <w:pStyle w:val="AllowPageBreak"/>
      </w:pPr>
    </w:p>
    <w:p w:rsidR="00000000" w:rsidRPr="00956295" w:rsidP="00956295">
      <w:pPr>
        <w:pStyle w:val="Heading1"/>
      </w:pPr>
      <w:bookmarkStart w:id="5" w:name="O_1294708"/>
      <w:bookmarkEnd w:id="5"/>
      <w:r w:rsidRPr="00956295">
        <w:t>Links</w:t>
      </w:r>
    </w:p>
    <w:p w:rsidR="00000000" w:rsidRPr="00956295" w:rsidP="00F26B34">
      <w:pPr>
        <w:pStyle w:val="BodyText"/>
      </w:pPr>
      <w:r w:rsidRPr="0095629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4772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56295" w:rsidP="00956295"/>
    <w:sectPr w:rsidSect="009562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2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295" w:rsidRPr="00F26B34" w:rsidP="00F26B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2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B34" w:rsidP="009562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6B34" w:rsidP="009562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26B34" w:rsidP="009562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2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B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6295" w:rsidRPr="00F26B34" w:rsidP="00F26B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2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B34" w:rsidRPr="002D2AF8" w:rsidP="009562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CPCCBC6017 Evaluate services layout and connection methods for the planning of large building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26B34" w:rsidP="009562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A2C3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CAF0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A2DB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62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62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62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62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62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62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62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62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62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62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62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6295"/>
  </w:style>
  <w:style w:type="character" w:customStyle="1" w:styleId="Heading1Char">
    <w:name w:val="Heading 1 Char"/>
    <w:basedOn w:val="DefaultParagraphFont"/>
    <w:link w:val="Heading1"/>
    <w:rsid w:val="009562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62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62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629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562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62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62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62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62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62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62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62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62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62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62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62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62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62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62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62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62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62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62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62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62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62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62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6295"/>
    <w:rPr>
      <w:b/>
      <w:spacing w:val="0"/>
    </w:rPr>
  </w:style>
  <w:style w:type="paragraph" w:customStyle="1" w:styleId="SuperTitle">
    <w:name w:val="SuperTitle"/>
    <w:basedOn w:val="Title"/>
    <w:rsid w:val="009562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62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62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62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62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62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62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62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62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62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62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62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6295"/>
    <w:rPr>
      <w:i/>
    </w:rPr>
  </w:style>
  <w:style w:type="paragraph" w:styleId="Caption">
    <w:name w:val="caption"/>
    <w:basedOn w:val="BodyText"/>
    <w:next w:val="Normal"/>
    <w:qFormat/>
    <w:rsid w:val="009562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62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62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6295"/>
  </w:style>
  <w:style w:type="paragraph" w:styleId="TableofFigures">
    <w:name w:val="table of figures"/>
    <w:basedOn w:val="Normal"/>
    <w:next w:val="Normal"/>
    <w:semiHidden/>
    <w:rsid w:val="009562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62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6295"/>
    <w:rPr>
      <w:rFonts w:ascii="Wingdings" w:hAnsi="Wingdings"/>
    </w:rPr>
  </w:style>
  <w:style w:type="paragraph" w:customStyle="1" w:styleId="TableHeading">
    <w:name w:val="Table Heading"/>
    <w:basedOn w:val="HeadingBase"/>
    <w:rsid w:val="009562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6295"/>
    <w:rPr>
      <w:color w:val="0033CC"/>
      <w:u w:val="none"/>
    </w:rPr>
  </w:style>
  <w:style w:type="paragraph" w:customStyle="1" w:styleId="BodyTextRight">
    <w:name w:val="Body Text Right"/>
    <w:basedOn w:val="BodyText"/>
    <w:rsid w:val="009562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62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62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62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62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62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6295"/>
    <w:rPr>
      <w:sz w:val="32"/>
    </w:rPr>
  </w:style>
  <w:style w:type="paragraph" w:customStyle="1" w:styleId="HeadingProcedure">
    <w:name w:val="Heading Procedure"/>
    <w:basedOn w:val="HeadingBase"/>
    <w:next w:val="Normal"/>
    <w:rsid w:val="009562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6295"/>
    <w:pPr>
      <w:spacing w:before="60" w:after="60"/>
    </w:pPr>
  </w:style>
  <w:style w:type="paragraph" w:styleId="ListContinue">
    <w:name w:val="List Continue"/>
    <w:basedOn w:val="List"/>
    <w:rsid w:val="00956295"/>
    <w:pPr>
      <w:ind w:firstLine="0"/>
    </w:pPr>
  </w:style>
  <w:style w:type="paragraph" w:customStyle="1" w:styleId="ListNote">
    <w:name w:val="List Note"/>
    <w:basedOn w:val="List"/>
    <w:rsid w:val="009562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62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62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6295"/>
    <w:rPr>
      <w:rFonts w:ascii="Courier New" w:hAnsi="Courier New"/>
    </w:rPr>
  </w:style>
  <w:style w:type="paragraph" w:customStyle="1" w:styleId="NoteBullet">
    <w:name w:val="Note Bullet"/>
    <w:basedOn w:val="Note"/>
    <w:rsid w:val="009562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62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62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62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62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62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62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6295"/>
    <w:rPr>
      <w:b/>
      <w:smallCaps/>
    </w:rPr>
  </w:style>
  <w:style w:type="paragraph" w:customStyle="1" w:styleId="TableListNumber">
    <w:name w:val="Table List Number"/>
    <w:basedOn w:val="ListNumber"/>
    <w:rsid w:val="009562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62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6295"/>
    <w:pPr>
      <w:numPr>
        <w:numId w:val="9"/>
      </w:numPr>
    </w:pPr>
  </w:style>
  <w:style w:type="paragraph" w:customStyle="1" w:styleId="ListAlpha2">
    <w:name w:val="List Alpha 2"/>
    <w:basedOn w:val="List2"/>
    <w:rsid w:val="00956295"/>
    <w:pPr>
      <w:numPr>
        <w:numId w:val="8"/>
      </w:numPr>
    </w:pPr>
  </w:style>
  <w:style w:type="paragraph" w:styleId="List2">
    <w:name w:val="List 2"/>
    <w:basedOn w:val="BodyText"/>
    <w:rsid w:val="009562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62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62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62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62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62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6295"/>
    <w:pPr>
      <w:numPr>
        <w:numId w:val="4"/>
      </w:numPr>
    </w:pPr>
  </w:style>
  <w:style w:type="paragraph" w:styleId="ListContinue2">
    <w:name w:val="List Continue 2"/>
    <w:basedOn w:val="List2"/>
    <w:rsid w:val="00956295"/>
    <w:pPr>
      <w:ind w:firstLine="0"/>
    </w:pPr>
  </w:style>
  <w:style w:type="paragraph" w:styleId="ListContinue3">
    <w:name w:val="List Continue 3"/>
    <w:basedOn w:val="List3"/>
    <w:rsid w:val="00956295"/>
    <w:pPr>
      <w:ind w:left="1021" w:firstLine="0"/>
    </w:pPr>
  </w:style>
  <w:style w:type="paragraph" w:styleId="ListContinue4">
    <w:name w:val="List Continue 4"/>
    <w:basedOn w:val="List4"/>
    <w:rsid w:val="00956295"/>
    <w:pPr>
      <w:ind w:firstLine="0"/>
    </w:pPr>
  </w:style>
  <w:style w:type="paragraph" w:styleId="ListContinue5">
    <w:name w:val="List Continue 5"/>
    <w:basedOn w:val="List5"/>
    <w:rsid w:val="00956295"/>
    <w:pPr>
      <w:ind w:firstLine="0"/>
    </w:pPr>
  </w:style>
  <w:style w:type="paragraph" w:styleId="ListNumber3">
    <w:name w:val="List Number 3"/>
    <w:basedOn w:val="List3"/>
    <w:rsid w:val="00956295"/>
    <w:pPr>
      <w:numPr>
        <w:numId w:val="5"/>
      </w:numPr>
    </w:pPr>
  </w:style>
  <w:style w:type="paragraph" w:styleId="ListNumber4">
    <w:name w:val="List Number 4"/>
    <w:basedOn w:val="List4"/>
    <w:rsid w:val="00956295"/>
    <w:pPr>
      <w:numPr>
        <w:numId w:val="6"/>
      </w:numPr>
    </w:pPr>
  </w:style>
  <w:style w:type="paragraph" w:styleId="ListNumber5">
    <w:name w:val="List Number 5"/>
    <w:basedOn w:val="List5"/>
    <w:rsid w:val="00956295"/>
    <w:pPr>
      <w:numPr>
        <w:numId w:val="7"/>
      </w:numPr>
    </w:pPr>
  </w:style>
  <w:style w:type="paragraph" w:styleId="BlockText">
    <w:name w:val="Block Text"/>
    <w:basedOn w:val="Normal"/>
    <w:rsid w:val="009562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62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6295"/>
    <w:rPr>
      <w:sz w:val="16"/>
      <w:vertAlign w:val="superscript"/>
    </w:rPr>
  </w:style>
  <w:style w:type="character" w:customStyle="1" w:styleId="Symbols">
    <w:name w:val="Symbols"/>
    <w:basedOn w:val="DefaultParagraphFont"/>
    <w:rsid w:val="00956295"/>
    <w:rPr>
      <w:rFonts w:ascii="Symbol" w:hAnsi="Symbol"/>
    </w:rPr>
  </w:style>
  <w:style w:type="character" w:customStyle="1" w:styleId="MenuOptions">
    <w:name w:val="Menu Options"/>
    <w:basedOn w:val="DefaultParagraphFont"/>
    <w:rsid w:val="009562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6295"/>
    <w:rPr>
      <w:b/>
    </w:rPr>
  </w:style>
  <w:style w:type="character" w:customStyle="1" w:styleId="Underlined">
    <w:name w:val="Underlined"/>
    <w:basedOn w:val="DefaultParagraphFont"/>
    <w:rsid w:val="00956295"/>
    <w:rPr>
      <w:u w:val="single"/>
    </w:rPr>
  </w:style>
  <w:style w:type="paragraph" w:customStyle="1" w:styleId="TableBodyTextRight">
    <w:name w:val="Table Body Text Right"/>
    <w:basedOn w:val="TableBodyText"/>
    <w:rsid w:val="009562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6295"/>
    <w:rPr>
      <w:sz w:val="18"/>
    </w:rPr>
  </w:style>
  <w:style w:type="paragraph" w:customStyle="1" w:styleId="BodySmallRight">
    <w:name w:val="Body Small Right"/>
    <w:basedOn w:val="BodyTextRight"/>
    <w:rsid w:val="00956295"/>
    <w:rPr>
      <w:sz w:val="18"/>
      <w:szCs w:val="18"/>
    </w:rPr>
  </w:style>
  <w:style w:type="paragraph" w:customStyle="1" w:styleId="MarginEdition">
    <w:name w:val="Margin Edition"/>
    <w:basedOn w:val="MarginNote"/>
    <w:rsid w:val="009562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6295"/>
    <w:rPr>
      <w:sz w:val="2"/>
      <w:szCs w:val="2"/>
    </w:rPr>
  </w:style>
  <w:style w:type="character" w:customStyle="1" w:styleId="Small">
    <w:name w:val="Small"/>
    <w:basedOn w:val="DefaultParagraphFont"/>
    <w:rsid w:val="00956295"/>
    <w:rPr>
      <w:sz w:val="16"/>
    </w:rPr>
  </w:style>
  <w:style w:type="paragraph" w:customStyle="1" w:styleId="WideTable">
    <w:name w:val="Wide Table"/>
    <w:basedOn w:val="Normal"/>
    <w:rsid w:val="009562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6295"/>
  </w:style>
  <w:style w:type="paragraph" w:styleId="Quote">
    <w:name w:val="Quote"/>
    <w:basedOn w:val="Heading1"/>
    <w:link w:val="QuoteChar"/>
    <w:qFormat/>
    <w:rsid w:val="009562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62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6295"/>
    <w:pPr>
      <w:pageBreakBefore/>
    </w:pPr>
  </w:style>
  <w:style w:type="paragraph" w:customStyle="1" w:styleId="Border">
    <w:name w:val="Border"/>
    <w:basedOn w:val="Normal"/>
    <w:qFormat/>
    <w:rsid w:val="009562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62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2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2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62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62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62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62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62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6295"/>
    <w:rPr>
      <w:u w:val="single"/>
    </w:rPr>
  </w:style>
  <w:style w:type="character" w:customStyle="1" w:styleId="BoldandItalics">
    <w:name w:val="Bold and Italics"/>
    <w:qFormat/>
    <w:rsid w:val="00956295"/>
    <w:rPr>
      <w:b/>
      <w:i/>
      <w:u w:val="none"/>
    </w:rPr>
  </w:style>
  <w:style w:type="paragraph" w:styleId="BalloonText">
    <w:name w:val="Balloon Text"/>
    <w:basedOn w:val="Normal"/>
    <w:link w:val="BalloonTextChar"/>
    <w:rsid w:val="009562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62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62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62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62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62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6295"/>
    <w:pPr>
      <w:spacing w:before="0" w:after="0"/>
    </w:pPr>
  </w:style>
  <w:style w:type="paragraph" w:customStyle="1" w:styleId="BodyTextBold">
    <w:name w:val="Body Text Bold"/>
    <w:basedOn w:val="BodyText"/>
    <w:qFormat/>
    <w:rsid w:val="00956295"/>
    <w:rPr>
      <w:b/>
    </w:rPr>
  </w:style>
  <w:style w:type="character" w:styleId="Hyperlink">
    <w:name w:val="Hyperlink"/>
    <w:basedOn w:val="DefaultParagraphFont"/>
    <w:uiPriority w:val="99"/>
    <w:unhideWhenUsed/>
    <w:rsid w:val="00F26B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622</Words>
  <Characters>4254</Characters>
  <Application>Microsoft Office Word</Application>
  <DocSecurity>0</DocSecurity>
  <Lines>111</Lines>
  <Paragraphs>97</Paragraphs>
  <ScaleCrop>false</ScaleCrop>
  <Company>Author-it Software Corporation Ltd.</Company>
  <LinksUpToDate>false</LinksUpToDate>
  <CharactersWithSpaces>4779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CPCCBC6017 Evaluate services layout and connection methods for the planning of large building projects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2024-12-24T01:27:00Z</dcterms:created>
  <dcterms:modified xsi:type="dcterms:W3CDTF">2024-12-24T01:27:00Z</dcterms:modified>
</cp:coreProperties>
</file>