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135" w:rsidP="00C75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CPCCBC6016 Assess construction faults in large building projects</w:t>
      </w:r>
      <w:r>
        <w:fldChar w:fldCharType="end"/>
      </w:r>
    </w:p>
    <w:p w:rsidR="00C75135" w:rsidP="00C75135">
      <w:pPr>
        <w:pStyle w:val="Version"/>
        <w:sectPr w:rsidSect="007B7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7838" w:rsidP="007B7838">
      <w:pPr>
        <w:pStyle w:val="SuperHeading"/>
      </w:pPr>
      <w:r w:rsidRPr="007B7838">
        <w:t>Assessment Requirements for CPCCBC6016 Assess construction faults in large building projects</w:t>
      </w:r>
    </w:p>
    <w:p w:rsidR="00000000" w:rsidRPr="007B7838" w:rsidP="007B7838">
      <w:pPr>
        <w:pStyle w:val="Heading1"/>
      </w:pPr>
      <w:bookmarkStart w:id="1" w:name="O_1294650"/>
      <w:bookmarkEnd w:id="1"/>
      <w:r w:rsidRPr="007B78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B7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38">
            <w:pPr>
              <w:pStyle w:val="BodyText"/>
              <w:rPr>
                <w:lang w:val="en-NZ"/>
              </w:rPr>
            </w:pPr>
            <w:r w:rsidRPr="007B78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38">
            <w:pPr>
              <w:pStyle w:val="BodyText"/>
              <w:rPr>
                <w:lang w:val="en-NZ"/>
              </w:rPr>
            </w:pPr>
            <w:r w:rsidRPr="007B7838">
              <w:t>Updated reference to general construction induction training program.</w:t>
            </w:r>
          </w:p>
        </w:tc>
      </w:tr>
      <w:tr w:rsidTr="007B7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38">
            <w:pPr>
              <w:pStyle w:val="BodyText"/>
              <w:rPr>
                <w:lang w:val="en-NZ"/>
              </w:rPr>
            </w:pPr>
            <w:r w:rsidRPr="007B78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38" w:rsidP="007B7838">
            <w:pPr>
              <w:pStyle w:val="BodyText"/>
            </w:pPr>
            <w:r w:rsidRPr="007B7838">
              <w:t>This version first released with CPC Construction, Plumbing and Services Training Package Release 5.0.</w:t>
            </w:r>
          </w:p>
          <w:p w:rsidR="00000000" w:rsidRPr="007B7838" w:rsidP="007B7838">
            <w:pPr>
              <w:pStyle w:val="BodyText"/>
            </w:pPr>
            <w:r w:rsidRPr="007B7838">
              <w:t>Supersedes and is equivalent to CPCCBC6016A Assess construction faults in large building projects.  Updated to meet the Standards for Training Packages 2</w:t>
            </w:r>
            <w:r w:rsidRPr="007B7838">
              <w:t>012.</w:t>
            </w:r>
          </w:p>
        </w:tc>
      </w:tr>
    </w:tbl>
    <w:p w:rsidR="00000000" w:rsidRPr="007B7838" w:rsidP="007B7838">
      <w:pPr>
        <w:pStyle w:val="BodyText"/>
      </w:pPr>
    </w:p>
    <w:p w:rsidR="00000000" w:rsidRPr="007B7838" w:rsidP="007B7838">
      <w:pPr>
        <w:pStyle w:val="AllowPageBreak"/>
      </w:pPr>
    </w:p>
    <w:p w:rsidR="00000000" w:rsidRPr="007B7838" w:rsidP="007B7838">
      <w:pPr>
        <w:pStyle w:val="Heading1"/>
      </w:pPr>
      <w:bookmarkStart w:id="2" w:name="O_1294649"/>
      <w:bookmarkEnd w:id="2"/>
      <w:r w:rsidRPr="007B7838">
        <w:t>Performance Evidence</w:t>
      </w:r>
    </w:p>
    <w:p w:rsidR="00000000" w:rsidRPr="007B7838" w:rsidP="00C75135">
      <w:pPr>
        <w:pStyle w:val="BodyText"/>
      </w:pPr>
      <w:r w:rsidRPr="007B7838">
        <w:t>To demonstrate competency, a candidate must meet the elements and performance criteria of this unit by identifying and assessing the impact of construction faults on a Type A building project.</w:t>
      </w:r>
    </w:p>
    <w:p w:rsidR="00000000" w:rsidRPr="007B7838" w:rsidP="00C75135">
      <w:pPr>
        <w:pStyle w:val="BodyText"/>
      </w:pPr>
      <w:r w:rsidRPr="007B7838">
        <w:t>In doing this, t</w:t>
      </w:r>
      <w:r w:rsidRPr="007B7838">
        <w:t>he candidate must identify, assess the impact of and determine remedial action for construction faults associated with at least two of the following:</w:t>
      </w:r>
    </w:p>
    <w:p w:rsidR="00000000" w:rsidRPr="007B7838" w:rsidP="007B7838">
      <w:pPr>
        <w:pStyle w:val="ListBullet"/>
      </w:pPr>
      <w:r w:rsidRPr="007B7838">
        <w:t>structural</w:t>
      </w:r>
    </w:p>
    <w:p w:rsidR="00000000" w:rsidRPr="007B7838" w:rsidP="007B7838">
      <w:pPr>
        <w:pStyle w:val="ListBullet"/>
      </w:pPr>
      <w:r w:rsidRPr="007B7838">
        <w:t>installation</w:t>
      </w:r>
    </w:p>
    <w:p w:rsidR="00000000" w:rsidRPr="007B7838" w:rsidP="007B7838">
      <w:pPr>
        <w:pStyle w:val="ListBullet"/>
      </w:pPr>
      <w:r w:rsidRPr="007B7838">
        <w:t>refurbishment</w:t>
      </w:r>
    </w:p>
    <w:p w:rsidR="00000000" w:rsidRPr="007B7838" w:rsidP="007B7838">
      <w:pPr>
        <w:pStyle w:val="ListBullet"/>
      </w:pPr>
      <w:r w:rsidRPr="007B7838">
        <w:t>renovation</w:t>
      </w:r>
    </w:p>
    <w:p w:rsidR="00000000" w:rsidRPr="007B7838" w:rsidP="007B7838">
      <w:pPr>
        <w:pStyle w:val="ListBullet"/>
      </w:pPr>
      <w:r w:rsidRPr="007B7838">
        <w:t>restoration.</w:t>
      </w:r>
    </w:p>
    <w:p w:rsidR="00000000" w:rsidRPr="007B7838" w:rsidP="007B7838">
      <w:pPr>
        <w:pStyle w:val="AllowPageBreak"/>
      </w:pPr>
    </w:p>
    <w:p w:rsidR="00000000" w:rsidRPr="007B7838" w:rsidP="007B7838">
      <w:pPr>
        <w:pStyle w:val="Heading1"/>
      </w:pPr>
      <w:bookmarkStart w:id="3" w:name="O_1294648"/>
      <w:bookmarkEnd w:id="3"/>
      <w:r w:rsidRPr="007B7838">
        <w:t>Knowledge Evidence</w:t>
      </w:r>
    </w:p>
    <w:p w:rsidR="00000000" w:rsidRPr="007B7838" w:rsidP="00C75135">
      <w:pPr>
        <w:pStyle w:val="BodyText"/>
      </w:pPr>
      <w:r w:rsidRPr="007B7838">
        <w:t>To be competent in this unit, a candidate must demonstrate knowledge of:</w:t>
      </w:r>
    </w:p>
    <w:p w:rsidR="00000000" w:rsidRPr="007B7838" w:rsidP="007B7838">
      <w:pPr>
        <w:pStyle w:val="ListBullet"/>
      </w:pPr>
      <w:r w:rsidRPr="007B7838">
        <w:t>government building legislation and regulation</w:t>
      </w:r>
    </w:p>
    <w:p w:rsidR="00000000" w:rsidRPr="007B7838" w:rsidP="007B7838">
      <w:pPr>
        <w:pStyle w:val="ListBullet"/>
      </w:pPr>
      <w:r w:rsidRPr="007B7838">
        <w:t>building codes and standards</w:t>
      </w:r>
    </w:p>
    <w:p w:rsidR="00000000" w:rsidRPr="007B7838" w:rsidP="007B7838">
      <w:pPr>
        <w:pStyle w:val="ListBullet"/>
      </w:pPr>
      <w:r w:rsidRPr="007B7838">
        <w:t>the National Construction Code (NCC)</w:t>
      </w:r>
    </w:p>
    <w:p w:rsidR="00000000" w:rsidRPr="007B7838" w:rsidP="007B7838">
      <w:pPr>
        <w:pStyle w:val="ListBullet"/>
      </w:pPr>
      <w:r w:rsidRPr="007B7838">
        <w:t>project drawings, details and specifications</w:t>
      </w:r>
    </w:p>
    <w:p w:rsidR="00000000" w:rsidRPr="007B7838" w:rsidP="007B7838">
      <w:pPr>
        <w:pStyle w:val="ListBullet"/>
      </w:pPr>
      <w:r w:rsidRPr="007B7838">
        <w:t>design principles and be</w:t>
      </w:r>
      <w:r w:rsidRPr="007B7838">
        <w:t>haviour of structural members undergoing stress, strain, tension, compression, bending or combined actions</w:t>
      </w:r>
    </w:p>
    <w:p w:rsidR="00000000" w:rsidRPr="007B7838" w:rsidP="007B7838">
      <w:pPr>
        <w:pStyle w:val="ListBullet"/>
      </w:pPr>
      <w:r w:rsidRPr="007B7838">
        <w:t>nature of materials and effects on performance</w:t>
      </w:r>
    </w:p>
    <w:p w:rsidR="00000000" w:rsidRPr="007B7838" w:rsidP="007B7838">
      <w:pPr>
        <w:pStyle w:val="ListBullet"/>
      </w:pPr>
      <w:r w:rsidRPr="007B7838">
        <w:t>structural design:</w:t>
      </w:r>
    </w:p>
    <w:p w:rsidR="00000000" w:rsidRPr="007B7838" w:rsidP="007B7838">
      <w:pPr>
        <w:pStyle w:val="ListBullet2"/>
      </w:pPr>
      <w:r w:rsidRPr="007B7838">
        <w:t>aesthetics</w:t>
      </w:r>
    </w:p>
    <w:p w:rsidR="00000000" w:rsidRPr="007B7838" w:rsidP="007B7838">
      <w:pPr>
        <w:pStyle w:val="ListBullet2"/>
      </w:pPr>
      <w:r w:rsidRPr="007B7838">
        <w:t>economy</w:t>
      </w:r>
    </w:p>
    <w:p w:rsidR="00000000" w:rsidRPr="007B7838" w:rsidP="007B7838">
      <w:pPr>
        <w:pStyle w:val="ListBullet2"/>
      </w:pPr>
      <w:r w:rsidRPr="007B7838">
        <w:t>equilibrium</w:t>
      </w:r>
    </w:p>
    <w:p w:rsidR="00000000" w:rsidRPr="007B7838" w:rsidP="007B7838">
      <w:pPr>
        <w:pStyle w:val="ListBullet2"/>
      </w:pPr>
      <w:r w:rsidRPr="007B7838">
        <w:t>functionality</w:t>
      </w:r>
    </w:p>
    <w:p w:rsidR="00000000" w:rsidRPr="007B7838" w:rsidP="007B7838">
      <w:pPr>
        <w:pStyle w:val="ListBullet2"/>
      </w:pPr>
      <w:r w:rsidRPr="007B7838">
        <w:t>stability</w:t>
      </w:r>
    </w:p>
    <w:p w:rsidR="00000000" w:rsidRPr="007B7838" w:rsidP="007B7838">
      <w:pPr>
        <w:pStyle w:val="ListBullet2"/>
      </w:pPr>
      <w:r w:rsidRPr="007B7838">
        <w:t>strength</w:t>
      </w:r>
    </w:p>
    <w:p w:rsidR="00000000" w:rsidRPr="007B7838" w:rsidP="007B7838">
      <w:pPr>
        <w:pStyle w:val="ListBullet"/>
      </w:pPr>
      <w:r w:rsidRPr="007B7838">
        <w:t>properties, characteristics and limitations of structural materials:</w:t>
      </w:r>
    </w:p>
    <w:p w:rsidR="00000000" w:rsidRPr="007B7838" w:rsidP="007B7838">
      <w:pPr>
        <w:pStyle w:val="ListBullet2"/>
      </w:pPr>
      <w:r w:rsidRPr="007B7838">
        <w:t>reinforced and pre-stressed concrete and tilt-up panels</w:t>
      </w:r>
    </w:p>
    <w:p w:rsidR="00000000" w:rsidRPr="007B7838" w:rsidP="007B7838">
      <w:pPr>
        <w:pStyle w:val="ListBullet2"/>
      </w:pPr>
      <w:r w:rsidRPr="007B7838">
        <w:t>composite steel and concrete</w:t>
      </w:r>
    </w:p>
    <w:p w:rsidR="00000000" w:rsidRPr="007B7838" w:rsidP="007B7838">
      <w:pPr>
        <w:pStyle w:val="ListBullet2"/>
      </w:pPr>
      <w:r w:rsidRPr="007B7838">
        <w:t>masonry</w:t>
      </w:r>
    </w:p>
    <w:p w:rsidR="00000000" w:rsidRPr="007B7838" w:rsidP="007B7838">
      <w:pPr>
        <w:pStyle w:val="ListBullet2"/>
      </w:pPr>
      <w:r w:rsidRPr="007B7838">
        <w:t>steel (cold-formed steel) and aluminium</w:t>
      </w:r>
    </w:p>
    <w:p w:rsidR="00000000" w:rsidRPr="007B7838" w:rsidP="007B7838">
      <w:pPr>
        <w:pStyle w:val="ListBullet"/>
      </w:pPr>
      <w:r w:rsidRPr="007B7838">
        <w:t>performance characteristics of columns analysis:</w:t>
      </w:r>
    </w:p>
    <w:p w:rsidR="00000000" w:rsidRPr="007B7838" w:rsidP="007B7838">
      <w:pPr>
        <w:pStyle w:val="ListBullet2"/>
      </w:pPr>
      <w:r w:rsidRPr="007B7838">
        <w:t>be</w:t>
      </w:r>
      <w:r w:rsidRPr="007B7838">
        <w:t>nding behaviour and performance of loaded support beams</w:t>
      </w:r>
    </w:p>
    <w:p w:rsidR="00000000" w:rsidRPr="007B7838" w:rsidP="007B7838">
      <w:pPr>
        <w:pStyle w:val="ListBullet2"/>
      </w:pPr>
      <w:r w:rsidRPr="007B7838">
        <w:t>eccentric and axial load effect</w:t>
      </w:r>
    </w:p>
    <w:p w:rsidR="00000000" w:rsidRPr="007B7838" w:rsidP="007B7838">
      <w:pPr>
        <w:pStyle w:val="ListBullet2"/>
      </w:pPr>
      <w:r w:rsidRPr="007B7838">
        <w:t>load spanning elements for bending moments, shear forces, deflection and torsion</w:t>
      </w:r>
    </w:p>
    <w:p w:rsidR="00000000" w:rsidRPr="007B7838" w:rsidP="007B7838">
      <w:pPr>
        <w:pStyle w:val="ListBullet2"/>
      </w:pPr>
      <w:r w:rsidRPr="007B7838">
        <w:t>effect of connections</w:t>
      </w:r>
    </w:p>
    <w:p w:rsidR="00000000" w:rsidRPr="007B7838" w:rsidP="007B7838">
      <w:pPr>
        <w:pStyle w:val="ListBullet2"/>
      </w:pPr>
      <w:r w:rsidRPr="007B7838">
        <w:t>effect of slab behaviour in relation to spans and stress distribution</w:t>
      </w:r>
    </w:p>
    <w:p w:rsidR="00000000" w:rsidRPr="007B7838" w:rsidP="007B7838">
      <w:pPr>
        <w:pStyle w:val="ListBullet2"/>
      </w:pPr>
      <w:r w:rsidRPr="007B7838">
        <w:t>effect of slenderness ratio</w:t>
      </w:r>
    </w:p>
    <w:p w:rsidR="00000000" w:rsidRPr="007B7838" w:rsidP="007B7838">
      <w:pPr>
        <w:pStyle w:val="ListBullet"/>
      </w:pPr>
      <w:r w:rsidRPr="007B7838">
        <w:t>high performance structural elements:</w:t>
      </w:r>
    </w:p>
    <w:p w:rsidR="00000000" w:rsidRPr="007B7838" w:rsidP="007B7838">
      <w:pPr>
        <w:pStyle w:val="ListBullet2"/>
      </w:pPr>
      <w:r w:rsidRPr="007B7838">
        <w:t>castellated beams</w:t>
      </w:r>
    </w:p>
    <w:p w:rsidR="00000000" w:rsidRPr="007B7838" w:rsidP="007B7838">
      <w:pPr>
        <w:pStyle w:val="ListBullet2"/>
      </w:pPr>
      <w:r w:rsidRPr="007B7838">
        <w:t>connections</w:t>
      </w:r>
    </w:p>
    <w:p w:rsidR="00000000" w:rsidRPr="007B7838" w:rsidP="007B7838">
      <w:pPr>
        <w:pStyle w:val="ListBullet2"/>
      </w:pPr>
      <w:r w:rsidRPr="007B7838">
        <w:t>fire resistance</w:t>
      </w:r>
    </w:p>
    <w:p w:rsidR="00000000" w:rsidRPr="007B7838" w:rsidP="007B7838">
      <w:pPr>
        <w:pStyle w:val="ListBullet2"/>
      </w:pPr>
      <w:r w:rsidRPr="007B7838">
        <w:t>laminated beams</w:t>
      </w:r>
    </w:p>
    <w:p w:rsidR="00000000" w:rsidRPr="007B7838" w:rsidP="007B7838">
      <w:pPr>
        <w:pStyle w:val="ListBullet2"/>
      </w:pPr>
      <w:r w:rsidRPr="007B7838">
        <w:t>pre-stressed beams</w:t>
      </w:r>
    </w:p>
    <w:p w:rsidR="00000000" w:rsidRPr="007B7838" w:rsidP="007B7838">
      <w:pPr>
        <w:pStyle w:val="ListBullet2"/>
      </w:pPr>
      <w:r w:rsidRPr="007B7838">
        <w:t>slabs</w:t>
      </w:r>
    </w:p>
    <w:p w:rsidR="00000000" w:rsidRPr="007B7838" w:rsidP="007B7838">
      <w:pPr>
        <w:pStyle w:val="ListBullet2"/>
      </w:pPr>
      <w:r w:rsidRPr="007B7838">
        <w:t>trusses</w:t>
      </w:r>
    </w:p>
    <w:p w:rsidR="00000000" w:rsidRPr="007B7838" w:rsidP="007B7838">
      <w:pPr>
        <w:pStyle w:val="ListBullet2"/>
      </w:pPr>
      <w:r w:rsidRPr="007B7838">
        <w:t>use of steel to reinfor</w:t>
      </w:r>
      <w:r w:rsidRPr="007B7838">
        <w:t>ce concrete</w:t>
      </w:r>
    </w:p>
    <w:p w:rsidR="00000000" w:rsidRPr="007B7838" w:rsidP="007B7838">
      <w:pPr>
        <w:pStyle w:val="ListBullet2"/>
      </w:pPr>
      <w:r w:rsidRPr="007B7838">
        <w:t>waffle slabs</w:t>
      </w:r>
    </w:p>
    <w:p w:rsidR="00000000" w:rsidRPr="007B7838" w:rsidP="007B7838">
      <w:pPr>
        <w:pStyle w:val="ListBullet"/>
      </w:pPr>
      <w:r w:rsidRPr="007B7838">
        <w:t>applications of structural principles in buildings:</w:t>
      </w:r>
    </w:p>
    <w:p w:rsidR="00000000" w:rsidRPr="007B7838" w:rsidP="007B7838">
      <w:pPr>
        <w:pStyle w:val="ListBullet2"/>
      </w:pPr>
      <w:r w:rsidRPr="007B7838">
        <w:t>dead and live load calculations and characteristics</w:t>
      </w:r>
    </w:p>
    <w:p w:rsidR="00000000" w:rsidRPr="007B7838" w:rsidP="007B7838">
      <w:pPr>
        <w:pStyle w:val="ListBullet2"/>
      </w:pPr>
      <w:r w:rsidRPr="007B7838">
        <w:t>fire resistance of materials</w:t>
      </w:r>
    </w:p>
    <w:p w:rsidR="00000000" w:rsidRPr="007B7838" w:rsidP="007B7838">
      <w:pPr>
        <w:pStyle w:val="ListBullet2"/>
      </w:pPr>
      <w:r w:rsidRPr="007B7838">
        <w:t>impact of thermal effects</w:t>
      </w:r>
    </w:p>
    <w:p w:rsidR="00000000" w:rsidRPr="007B7838" w:rsidP="007B7838">
      <w:pPr>
        <w:pStyle w:val="ListBullet2"/>
      </w:pPr>
      <w:r w:rsidRPr="007B7838">
        <w:t>impact of time-dependent effects, including creep and shrinkage</w:t>
      </w:r>
    </w:p>
    <w:p w:rsidR="00000000" w:rsidRPr="007B7838" w:rsidP="007B7838">
      <w:pPr>
        <w:pStyle w:val="ListBullet2"/>
      </w:pPr>
      <w:r w:rsidRPr="007B7838">
        <w:t>impact of wind, snow, groundwater, earthquake, liquid pressure, rainwater and earth pressure actions</w:t>
      </w:r>
    </w:p>
    <w:p w:rsidR="00000000" w:rsidRPr="007B7838" w:rsidP="007B7838">
      <w:pPr>
        <w:pStyle w:val="ListBullet2"/>
      </w:pPr>
      <w:r w:rsidRPr="007B7838">
        <w:t>structural resistance of forms of construction</w:t>
      </w:r>
    </w:p>
    <w:p w:rsidR="00000000" w:rsidRPr="007B7838" w:rsidP="007B7838">
      <w:pPr>
        <w:pStyle w:val="ListBullet2"/>
      </w:pPr>
      <w:r w:rsidRPr="007B7838">
        <w:t>structural resistance of materials</w:t>
      </w:r>
    </w:p>
    <w:p w:rsidR="00000000" w:rsidRPr="007B7838" w:rsidP="007B7838">
      <w:pPr>
        <w:pStyle w:val="ListBullet"/>
      </w:pPr>
      <w:r w:rsidRPr="007B7838">
        <w:t>work health and safety (WHS) and organisational quality procedures and p</w:t>
      </w:r>
      <w:r w:rsidRPr="007B7838">
        <w:t>rocesses</w:t>
      </w:r>
    </w:p>
    <w:p w:rsidR="00000000" w:rsidRPr="007B7838" w:rsidP="007B7838">
      <w:pPr>
        <w:pStyle w:val="ListBullet"/>
      </w:pPr>
      <w:r w:rsidRPr="007B7838">
        <w:t>temporary structural elements:</w:t>
      </w:r>
    </w:p>
    <w:p w:rsidR="00000000" w:rsidRPr="007B7838" w:rsidP="007B7838">
      <w:pPr>
        <w:pStyle w:val="ListBullet2"/>
      </w:pPr>
      <w:r w:rsidRPr="007B7838">
        <w:t>bracing</w:t>
      </w:r>
    </w:p>
    <w:p w:rsidR="00000000" w:rsidRPr="007B7838" w:rsidP="007B7838">
      <w:pPr>
        <w:pStyle w:val="ListBullet2"/>
      </w:pPr>
      <w:r w:rsidRPr="007B7838">
        <w:t>close sheeting</w:t>
      </w:r>
    </w:p>
    <w:p w:rsidR="00000000" w:rsidRPr="007B7838" w:rsidP="007B7838">
      <w:pPr>
        <w:pStyle w:val="ListBullet2"/>
      </w:pPr>
      <w:r w:rsidRPr="007B7838">
        <w:t>formwork props</w:t>
      </w:r>
    </w:p>
    <w:p w:rsidR="00000000" w:rsidRPr="007B7838" w:rsidP="007B7838">
      <w:pPr>
        <w:pStyle w:val="ListBullet2"/>
      </w:pPr>
      <w:r w:rsidRPr="007B7838">
        <w:t>pressure resistant formwork</w:t>
      </w:r>
    </w:p>
    <w:p w:rsidR="00000000" w:rsidRPr="007B7838" w:rsidP="007B7838">
      <w:pPr>
        <w:pStyle w:val="ListBullet2"/>
      </w:pPr>
      <w:r w:rsidRPr="007B7838">
        <w:t>scaffolding sole plates</w:t>
      </w:r>
    </w:p>
    <w:p w:rsidR="00000000" w:rsidRPr="007B7838" w:rsidP="007B7838">
      <w:pPr>
        <w:pStyle w:val="ListBullet2"/>
      </w:pPr>
      <w:r w:rsidRPr="007B7838">
        <w:t>shields</w:t>
      </w:r>
    </w:p>
    <w:p w:rsidR="00000000" w:rsidRPr="007B7838" w:rsidP="007B7838">
      <w:pPr>
        <w:pStyle w:val="ListBullet2"/>
      </w:pPr>
      <w:r w:rsidRPr="007B7838">
        <w:t>shoring collar sets</w:t>
      </w:r>
    </w:p>
    <w:p w:rsidR="00000000" w:rsidRPr="007B7838" w:rsidP="007B7838">
      <w:pPr>
        <w:pStyle w:val="ListBullet2"/>
      </w:pPr>
      <w:r w:rsidRPr="007B7838">
        <w:t>soldier sets.</w:t>
      </w:r>
    </w:p>
    <w:p w:rsidR="00000000" w:rsidRPr="007B7838" w:rsidP="007B7838">
      <w:pPr>
        <w:pStyle w:val="AllowPageBreak"/>
      </w:pPr>
    </w:p>
    <w:p w:rsidR="00000000" w:rsidRPr="007B7838" w:rsidP="007B7838">
      <w:pPr>
        <w:pStyle w:val="Heading1"/>
      </w:pPr>
      <w:bookmarkStart w:id="4" w:name="O_1294647"/>
      <w:bookmarkEnd w:id="4"/>
      <w:r w:rsidRPr="007B7838">
        <w:t>Assessment Conditions</w:t>
      </w:r>
    </w:p>
    <w:p w:rsidR="00000000" w:rsidRPr="007B7838" w:rsidP="00C75135">
      <w:pPr>
        <w:pStyle w:val="BodyText"/>
      </w:pPr>
      <w:r w:rsidRPr="007B7838">
        <w:t>Assessors must</w:t>
      </w:r>
      <w:r w:rsidRPr="007B7838">
        <w:t xml:space="preserve"> meet the requirements for assessors contained in the Standards for Registered Training Organisations. </w:t>
      </w:r>
    </w:p>
    <w:p w:rsidR="00000000" w:rsidRPr="007B7838" w:rsidP="00C75135">
      <w:pPr>
        <w:pStyle w:val="BodyText"/>
      </w:pPr>
      <w:r w:rsidRPr="007B7838">
        <w:t xml:space="preserve">Assessment can be undertaken in the workplace or in a simulated workplace environment. </w:t>
      </w:r>
    </w:p>
    <w:p w:rsidR="00000000" w:rsidRPr="007B7838" w:rsidP="00C75135">
      <w:pPr>
        <w:pStyle w:val="BodyText"/>
      </w:pPr>
      <w:r w:rsidRPr="007B7838">
        <w:t>A simulated environment is one that realistically replicates wor</w:t>
      </w:r>
      <w:r w:rsidRPr="007B7838">
        <w:t xml:space="preserve">kplace conditions, materials and equipment, interactions with others and workplace irregularities, and which meets industry standards for safety and environmental practices.  </w:t>
      </w:r>
    </w:p>
    <w:p w:rsidR="00000000" w:rsidRPr="007B7838" w:rsidP="00C75135">
      <w:pPr>
        <w:pStyle w:val="BodyText"/>
      </w:pPr>
      <w:r w:rsidRPr="007B7838">
        <w:t>Candidates must have access to:</w:t>
      </w:r>
    </w:p>
    <w:p w:rsidR="00000000" w:rsidRPr="007B7838" w:rsidP="007B7838">
      <w:pPr>
        <w:pStyle w:val="ListBullet"/>
      </w:pPr>
      <w:r w:rsidRPr="007B7838">
        <w:t xml:space="preserve">relevant government building legislation codes </w:t>
      </w:r>
      <w:r w:rsidRPr="007B7838">
        <w:t>and standards</w:t>
      </w:r>
    </w:p>
    <w:p w:rsidR="00000000" w:rsidRPr="007B7838" w:rsidP="007B7838">
      <w:pPr>
        <w:pStyle w:val="ListBullet"/>
      </w:pPr>
      <w:r w:rsidRPr="007B7838">
        <w:t xml:space="preserve">environmental and sustainability requirements </w:t>
      </w:r>
    </w:p>
    <w:p w:rsidR="00000000" w:rsidRPr="007B7838" w:rsidP="007B7838">
      <w:pPr>
        <w:pStyle w:val="ListBullet"/>
      </w:pPr>
      <w:r w:rsidRPr="007B7838">
        <w:t>manufacturer specifications and installation instructions</w:t>
      </w:r>
    </w:p>
    <w:p w:rsidR="00000000" w:rsidRPr="007B7838" w:rsidP="007B7838">
      <w:pPr>
        <w:pStyle w:val="ListBullet"/>
      </w:pPr>
      <w:r w:rsidRPr="007B7838">
        <w:t>organisational policies, procedures and workplace safety requirements</w:t>
      </w:r>
    </w:p>
    <w:p w:rsidR="00000000" w:rsidRPr="007B7838" w:rsidP="007B7838">
      <w:pPr>
        <w:pStyle w:val="ListBullet"/>
      </w:pPr>
      <w:r w:rsidRPr="007B7838">
        <w:t>project plans and specifications</w:t>
      </w:r>
    </w:p>
    <w:p w:rsidR="00000000" w:rsidRPr="007B7838" w:rsidP="007B7838">
      <w:pPr>
        <w:pStyle w:val="ListBullet"/>
      </w:pPr>
      <w:r w:rsidRPr="007B7838">
        <w:t>business equipment, technology and software to assess and remediate construction faults in large building projects and collaborate effectively with external professionals.</w:t>
      </w:r>
    </w:p>
    <w:p w:rsidR="00000000" w:rsidRPr="007B7838" w:rsidP="007B7838">
      <w:pPr>
        <w:pStyle w:val="AllowPageBreak"/>
      </w:pPr>
    </w:p>
    <w:p w:rsidR="00000000" w:rsidRPr="007B7838" w:rsidP="007B7838">
      <w:pPr>
        <w:pStyle w:val="Heading1"/>
      </w:pPr>
      <w:bookmarkStart w:id="5" w:name="O_1294660"/>
      <w:bookmarkEnd w:id="5"/>
      <w:r w:rsidRPr="007B7838">
        <w:t>Links</w:t>
      </w:r>
    </w:p>
    <w:p w:rsidR="00000000" w:rsidRPr="007B7838" w:rsidP="00C75135">
      <w:pPr>
        <w:pStyle w:val="BodyText"/>
      </w:pPr>
      <w:r w:rsidRPr="007B7838">
        <w:t>Companion volumes to this training package are available at</w:t>
      </w:r>
      <w:r w:rsidRPr="007B7838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17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B7838" w:rsidP="007B7838"/>
    <w:sectPr w:rsidSect="007B7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38" w:rsidRPr="00C75135" w:rsidP="00C75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135" w:rsidP="007B7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135" w:rsidP="007B7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5135" w:rsidP="007B7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838" w:rsidRPr="00C75135" w:rsidP="00C75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135" w:rsidRPr="002D2AF8" w:rsidP="007B7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CPCCBC6016 Assess construction faults in large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5135" w:rsidP="007B7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08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08E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29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838"/>
  </w:style>
  <w:style w:type="character" w:customStyle="1" w:styleId="Heading1Char">
    <w:name w:val="Heading 1 Char"/>
    <w:basedOn w:val="DefaultParagraphFont"/>
    <w:link w:val="Heading1"/>
    <w:rsid w:val="007B7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8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78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838"/>
    <w:rPr>
      <w:b/>
      <w:spacing w:val="0"/>
    </w:rPr>
  </w:style>
  <w:style w:type="paragraph" w:customStyle="1" w:styleId="SuperTitle">
    <w:name w:val="SuperTitle"/>
    <w:basedOn w:val="Title"/>
    <w:rsid w:val="007B7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838"/>
    <w:rPr>
      <w:i/>
    </w:rPr>
  </w:style>
  <w:style w:type="paragraph" w:styleId="Caption">
    <w:name w:val="caption"/>
    <w:basedOn w:val="BodyText"/>
    <w:next w:val="Normal"/>
    <w:qFormat/>
    <w:rsid w:val="007B7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838"/>
  </w:style>
  <w:style w:type="paragraph" w:styleId="TableofFigures">
    <w:name w:val="table of figures"/>
    <w:basedOn w:val="Normal"/>
    <w:next w:val="Normal"/>
    <w:semiHidden/>
    <w:rsid w:val="007B7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8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838"/>
    <w:rPr>
      <w:rFonts w:ascii="Wingdings" w:hAnsi="Wingdings"/>
    </w:rPr>
  </w:style>
  <w:style w:type="paragraph" w:customStyle="1" w:styleId="TableHeading">
    <w:name w:val="Table Heading"/>
    <w:basedOn w:val="HeadingBase"/>
    <w:rsid w:val="007B7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838"/>
    <w:rPr>
      <w:color w:val="0033CC"/>
      <w:u w:val="none"/>
    </w:rPr>
  </w:style>
  <w:style w:type="paragraph" w:customStyle="1" w:styleId="BodyTextRight">
    <w:name w:val="Body Text Right"/>
    <w:basedOn w:val="BodyText"/>
    <w:rsid w:val="007B7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838"/>
    <w:rPr>
      <w:sz w:val="32"/>
    </w:rPr>
  </w:style>
  <w:style w:type="paragraph" w:customStyle="1" w:styleId="HeadingProcedure">
    <w:name w:val="Heading Procedure"/>
    <w:basedOn w:val="HeadingBase"/>
    <w:next w:val="Normal"/>
    <w:rsid w:val="007B7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838"/>
    <w:pPr>
      <w:spacing w:before="60" w:after="60"/>
    </w:pPr>
  </w:style>
  <w:style w:type="paragraph" w:styleId="ListContinue">
    <w:name w:val="List Continue"/>
    <w:basedOn w:val="List"/>
    <w:rsid w:val="007B7838"/>
    <w:pPr>
      <w:ind w:firstLine="0"/>
    </w:pPr>
  </w:style>
  <w:style w:type="paragraph" w:customStyle="1" w:styleId="ListNote">
    <w:name w:val="List Note"/>
    <w:basedOn w:val="List"/>
    <w:rsid w:val="007B7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838"/>
    <w:rPr>
      <w:rFonts w:ascii="Courier New" w:hAnsi="Courier New"/>
    </w:rPr>
  </w:style>
  <w:style w:type="paragraph" w:customStyle="1" w:styleId="NoteBullet">
    <w:name w:val="Note Bullet"/>
    <w:basedOn w:val="Note"/>
    <w:rsid w:val="007B7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8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838"/>
    <w:rPr>
      <w:b/>
      <w:smallCaps/>
    </w:rPr>
  </w:style>
  <w:style w:type="paragraph" w:customStyle="1" w:styleId="TableListNumber">
    <w:name w:val="Table List Number"/>
    <w:basedOn w:val="ListNumber"/>
    <w:rsid w:val="007B7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838"/>
    <w:pPr>
      <w:numPr>
        <w:numId w:val="9"/>
      </w:numPr>
    </w:pPr>
  </w:style>
  <w:style w:type="paragraph" w:customStyle="1" w:styleId="ListAlpha2">
    <w:name w:val="List Alpha 2"/>
    <w:basedOn w:val="List2"/>
    <w:rsid w:val="007B7838"/>
    <w:pPr>
      <w:numPr>
        <w:numId w:val="8"/>
      </w:numPr>
    </w:pPr>
  </w:style>
  <w:style w:type="paragraph" w:styleId="List2">
    <w:name w:val="List 2"/>
    <w:basedOn w:val="BodyText"/>
    <w:rsid w:val="007B7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8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8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838"/>
    <w:pPr>
      <w:numPr>
        <w:numId w:val="4"/>
      </w:numPr>
    </w:pPr>
  </w:style>
  <w:style w:type="paragraph" w:styleId="ListContinue2">
    <w:name w:val="List Continue 2"/>
    <w:basedOn w:val="List2"/>
    <w:rsid w:val="007B7838"/>
    <w:pPr>
      <w:ind w:firstLine="0"/>
    </w:pPr>
  </w:style>
  <w:style w:type="paragraph" w:styleId="ListContinue3">
    <w:name w:val="List Continue 3"/>
    <w:basedOn w:val="List3"/>
    <w:rsid w:val="007B7838"/>
    <w:pPr>
      <w:ind w:left="1021" w:firstLine="0"/>
    </w:pPr>
  </w:style>
  <w:style w:type="paragraph" w:styleId="ListContinue4">
    <w:name w:val="List Continue 4"/>
    <w:basedOn w:val="List4"/>
    <w:rsid w:val="007B7838"/>
    <w:pPr>
      <w:ind w:firstLine="0"/>
    </w:pPr>
  </w:style>
  <w:style w:type="paragraph" w:styleId="ListContinue5">
    <w:name w:val="List Continue 5"/>
    <w:basedOn w:val="List5"/>
    <w:rsid w:val="007B7838"/>
    <w:pPr>
      <w:ind w:firstLine="0"/>
    </w:pPr>
  </w:style>
  <w:style w:type="paragraph" w:styleId="ListNumber3">
    <w:name w:val="List Number 3"/>
    <w:basedOn w:val="List3"/>
    <w:rsid w:val="007B7838"/>
    <w:pPr>
      <w:numPr>
        <w:numId w:val="5"/>
      </w:numPr>
    </w:pPr>
  </w:style>
  <w:style w:type="paragraph" w:styleId="ListNumber4">
    <w:name w:val="List Number 4"/>
    <w:basedOn w:val="List4"/>
    <w:rsid w:val="007B7838"/>
    <w:pPr>
      <w:numPr>
        <w:numId w:val="6"/>
      </w:numPr>
    </w:pPr>
  </w:style>
  <w:style w:type="paragraph" w:styleId="ListNumber5">
    <w:name w:val="List Number 5"/>
    <w:basedOn w:val="List5"/>
    <w:rsid w:val="007B7838"/>
    <w:pPr>
      <w:numPr>
        <w:numId w:val="7"/>
      </w:numPr>
    </w:pPr>
  </w:style>
  <w:style w:type="paragraph" w:styleId="BlockText">
    <w:name w:val="Block Text"/>
    <w:basedOn w:val="Normal"/>
    <w:rsid w:val="007B7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838"/>
    <w:rPr>
      <w:sz w:val="16"/>
      <w:vertAlign w:val="superscript"/>
    </w:rPr>
  </w:style>
  <w:style w:type="character" w:customStyle="1" w:styleId="Symbols">
    <w:name w:val="Symbols"/>
    <w:basedOn w:val="DefaultParagraphFont"/>
    <w:rsid w:val="007B7838"/>
    <w:rPr>
      <w:rFonts w:ascii="Symbol" w:hAnsi="Symbol"/>
    </w:rPr>
  </w:style>
  <w:style w:type="character" w:customStyle="1" w:styleId="MenuOptions">
    <w:name w:val="Menu Options"/>
    <w:basedOn w:val="DefaultParagraphFont"/>
    <w:rsid w:val="007B7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838"/>
    <w:rPr>
      <w:b/>
    </w:rPr>
  </w:style>
  <w:style w:type="character" w:customStyle="1" w:styleId="Underlined">
    <w:name w:val="Underlined"/>
    <w:basedOn w:val="DefaultParagraphFont"/>
    <w:rsid w:val="007B7838"/>
    <w:rPr>
      <w:u w:val="single"/>
    </w:rPr>
  </w:style>
  <w:style w:type="paragraph" w:customStyle="1" w:styleId="TableBodyTextRight">
    <w:name w:val="Table Body Text Right"/>
    <w:basedOn w:val="TableBodyText"/>
    <w:rsid w:val="007B7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838"/>
    <w:rPr>
      <w:sz w:val="18"/>
    </w:rPr>
  </w:style>
  <w:style w:type="paragraph" w:customStyle="1" w:styleId="BodySmallRight">
    <w:name w:val="Body Small Right"/>
    <w:basedOn w:val="BodyTextRight"/>
    <w:rsid w:val="007B7838"/>
    <w:rPr>
      <w:sz w:val="18"/>
      <w:szCs w:val="18"/>
    </w:rPr>
  </w:style>
  <w:style w:type="paragraph" w:customStyle="1" w:styleId="MarginEdition">
    <w:name w:val="Margin Edition"/>
    <w:basedOn w:val="MarginNote"/>
    <w:rsid w:val="007B7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838"/>
    <w:rPr>
      <w:sz w:val="2"/>
      <w:szCs w:val="2"/>
    </w:rPr>
  </w:style>
  <w:style w:type="character" w:customStyle="1" w:styleId="Small">
    <w:name w:val="Small"/>
    <w:basedOn w:val="DefaultParagraphFont"/>
    <w:rsid w:val="007B7838"/>
    <w:rPr>
      <w:sz w:val="16"/>
    </w:rPr>
  </w:style>
  <w:style w:type="paragraph" w:customStyle="1" w:styleId="WideTable">
    <w:name w:val="Wide Table"/>
    <w:basedOn w:val="Normal"/>
    <w:rsid w:val="007B7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838"/>
  </w:style>
  <w:style w:type="paragraph" w:styleId="Quote">
    <w:name w:val="Quote"/>
    <w:basedOn w:val="Heading1"/>
    <w:link w:val="QuoteChar"/>
    <w:qFormat/>
    <w:rsid w:val="007B7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838"/>
    <w:pPr>
      <w:pageBreakBefore/>
    </w:pPr>
  </w:style>
  <w:style w:type="paragraph" w:customStyle="1" w:styleId="Border">
    <w:name w:val="Border"/>
    <w:basedOn w:val="Normal"/>
    <w:qFormat/>
    <w:rsid w:val="007B7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838"/>
    <w:rPr>
      <w:u w:val="single"/>
    </w:rPr>
  </w:style>
  <w:style w:type="character" w:customStyle="1" w:styleId="BoldandItalics">
    <w:name w:val="Bold and Italics"/>
    <w:qFormat/>
    <w:rsid w:val="007B7838"/>
    <w:rPr>
      <w:b/>
      <w:i/>
      <w:u w:val="none"/>
    </w:rPr>
  </w:style>
  <w:style w:type="paragraph" w:styleId="BalloonText">
    <w:name w:val="Balloon Text"/>
    <w:basedOn w:val="Normal"/>
    <w:link w:val="BalloonTextChar"/>
    <w:rsid w:val="007B7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838"/>
    <w:pPr>
      <w:spacing w:before="0" w:after="0"/>
    </w:pPr>
  </w:style>
  <w:style w:type="paragraph" w:customStyle="1" w:styleId="BodyTextBold">
    <w:name w:val="Body Text Bold"/>
    <w:basedOn w:val="BodyText"/>
    <w:qFormat/>
    <w:rsid w:val="007B7838"/>
    <w:rPr>
      <w:b/>
    </w:rPr>
  </w:style>
  <w:style w:type="character" w:styleId="Hyperlink">
    <w:name w:val="Hyperlink"/>
    <w:basedOn w:val="DefaultParagraphFont"/>
    <w:uiPriority w:val="99"/>
    <w:unhideWhenUsed/>
    <w:rsid w:val="00C75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3666</Characters>
  <Application>Microsoft Office Word</Application>
  <DocSecurity>0</DocSecurity>
  <Lines>111</Lines>
  <Paragraphs>99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CPCCBC6016 Assess construction faults in large building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