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5D0" w:rsidP="005635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CPCCBC6014 Apply structural principles to the construction of large, high-rise and complex buildings</w:t>
      </w:r>
      <w:r>
        <w:fldChar w:fldCharType="end"/>
      </w:r>
    </w:p>
    <w:p w:rsidR="005635D0" w:rsidP="005635D0">
      <w:pPr>
        <w:pStyle w:val="Version"/>
        <w:sectPr w:rsidSect="00AB42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427E" w:rsidP="00AB427E">
      <w:pPr>
        <w:pStyle w:val="SuperHeading"/>
      </w:pPr>
      <w:r w:rsidRPr="00AB427E">
        <w:t>Assessment Requirements for CPCCBC6014 Apply structural principles to the construction of large, high-rise and complex buildings</w:t>
      </w:r>
    </w:p>
    <w:p w:rsidR="00000000" w:rsidRPr="00AB427E" w:rsidP="00AB427E">
      <w:pPr>
        <w:pStyle w:val="Heading1"/>
      </w:pPr>
      <w:bookmarkStart w:id="1" w:name="O_1294505"/>
      <w:bookmarkEnd w:id="1"/>
      <w:r w:rsidRPr="00AB42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B4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27E">
            <w:pPr>
              <w:pStyle w:val="BodyText"/>
              <w:rPr>
                <w:lang w:val="en-NZ"/>
              </w:rPr>
            </w:pPr>
            <w:r w:rsidRPr="00AB427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27E">
            <w:pPr>
              <w:pStyle w:val="BodyText"/>
              <w:rPr>
                <w:lang w:val="en-NZ"/>
              </w:rPr>
            </w:pPr>
            <w:r w:rsidRPr="00AB427E">
              <w:t>Updated reference to general construction induction training program.</w:t>
            </w:r>
          </w:p>
        </w:tc>
      </w:tr>
      <w:tr w:rsidTr="00AB4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27E">
            <w:pPr>
              <w:pStyle w:val="BodyText"/>
              <w:rPr>
                <w:lang w:val="en-NZ"/>
              </w:rPr>
            </w:pPr>
            <w:r w:rsidRPr="00AB427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27E" w:rsidP="00AB427E">
            <w:pPr>
              <w:pStyle w:val="BodyText"/>
            </w:pPr>
            <w:r w:rsidRPr="00AB427E">
              <w:t>This version first released with CPC Construction, Plumbing and Services Training Package Release 5.0.</w:t>
            </w:r>
          </w:p>
          <w:p w:rsidR="00000000" w:rsidRPr="00AB427E" w:rsidP="00AB427E">
            <w:pPr>
              <w:pStyle w:val="BodyText"/>
            </w:pPr>
            <w:r w:rsidRPr="00AB427E">
              <w:t>Supersedes and is equivalent to CPCCBC6014A Apply structural principles to the construction of large, high rise and complex buildings.  Updated</w:t>
            </w:r>
            <w:r w:rsidRPr="00AB427E">
              <w:t xml:space="preserve"> to meet the Standards for Training Packages 2012.</w:t>
            </w:r>
          </w:p>
        </w:tc>
      </w:tr>
    </w:tbl>
    <w:p w:rsidR="00000000" w:rsidRPr="00AB427E" w:rsidP="00AB427E">
      <w:pPr>
        <w:pStyle w:val="BodyText"/>
      </w:pPr>
    </w:p>
    <w:p w:rsidR="00000000" w:rsidRPr="00AB427E" w:rsidP="00AB427E">
      <w:pPr>
        <w:pStyle w:val="AllowPageBreak"/>
      </w:pPr>
    </w:p>
    <w:p w:rsidR="00000000" w:rsidRPr="00AB427E" w:rsidP="00AB427E">
      <w:pPr>
        <w:pStyle w:val="Heading1"/>
      </w:pPr>
      <w:bookmarkStart w:id="2" w:name="O_1294504"/>
      <w:bookmarkEnd w:id="2"/>
      <w:r w:rsidRPr="00AB427E">
        <w:t>Performance Evidence</w:t>
      </w:r>
    </w:p>
    <w:p w:rsidR="00000000" w:rsidRPr="00AB427E" w:rsidP="005635D0">
      <w:pPr>
        <w:pStyle w:val="BodyText"/>
      </w:pPr>
      <w:r w:rsidRPr="00AB427E">
        <w:t>To demonstrate competency, a candidate must meet the elements and performance criteria of this unit by applying structural design principles to the construction pl</w:t>
      </w:r>
      <w:r w:rsidRPr="00AB427E">
        <w:t xml:space="preserve">anning for a large, high-rise, or complex building project. </w:t>
      </w:r>
    </w:p>
    <w:p w:rsidR="00000000" w:rsidRPr="00AB427E" w:rsidP="005635D0">
      <w:pPr>
        <w:pStyle w:val="BodyText"/>
      </w:pPr>
      <w:r w:rsidRPr="00AB427E">
        <w:t>In doing this, the candidate must:</w:t>
      </w:r>
    </w:p>
    <w:p w:rsidR="00000000" w:rsidRPr="00AB427E" w:rsidP="00AB427E">
      <w:pPr>
        <w:pStyle w:val="ListBullet"/>
      </w:pPr>
      <w:r w:rsidRPr="00AB427E">
        <w:t>coordinate professional input to evaluate structural integrity of large and complex buildings</w:t>
      </w:r>
    </w:p>
    <w:p w:rsidR="00000000" w:rsidRPr="00AB427E" w:rsidP="00AB427E">
      <w:pPr>
        <w:pStyle w:val="ListBullet"/>
      </w:pPr>
      <w:r w:rsidRPr="00AB427E">
        <w:t>select, position and size all structural members that form fixed or temporary building structures</w:t>
      </w:r>
    </w:p>
    <w:p w:rsidR="00000000" w:rsidRPr="00AB427E" w:rsidP="00AB427E">
      <w:pPr>
        <w:pStyle w:val="ListBullet"/>
      </w:pPr>
      <w:r w:rsidRPr="00AB427E">
        <w:t>clearly analyse structural impact of design decisions</w:t>
      </w:r>
    </w:p>
    <w:p w:rsidR="00000000" w:rsidRPr="00AB427E" w:rsidP="00AB427E">
      <w:pPr>
        <w:pStyle w:val="ListBullet"/>
      </w:pPr>
      <w:r w:rsidRPr="00AB427E">
        <w:t>apply design principles relating to performance</w:t>
      </w:r>
    </w:p>
    <w:p w:rsidR="00000000" w:rsidRPr="00AB427E" w:rsidP="00AB427E">
      <w:pPr>
        <w:pStyle w:val="ListBullet"/>
      </w:pPr>
      <w:r w:rsidRPr="00AB427E">
        <w:t>identify typical faults and problems and the action requ</w:t>
      </w:r>
      <w:r w:rsidRPr="00AB427E">
        <w:t>ired to rectify such faults.</w:t>
      </w:r>
    </w:p>
    <w:p w:rsidR="00000000" w:rsidRPr="00AB427E" w:rsidP="00AB427E">
      <w:pPr>
        <w:pStyle w:val="AllowPageBreak"/>
      </w:pPr>
    </w:p>
    <w:p w:rsidR="00000000" w:rsidRPr="00AB427E" w:rsidP="00AB427E">
      <w:pPr>
        <w:pStyle w:val="Heading1"/>
      </w:pPr>
      <w:bookmarkStart w:id="3" w:name="O_1294503"/>
      <w:bookmarkEnd w:id="3"/>
      <w:r w:rsidRPr="00AB427E">
        <w:t>Knowledge Evidence</w:t>
      </w:r>
    </w:p>
    <w:p w:rsidR="00000000" w:rsidRPr="00AB427E" w:rsidP="005635D0">
      <w:pPr>
        <w:pStyle w:val="BodyText"/>
      </w:pPr>
      <w:r w:rsidRPr="00AB427E">
        <w:t>To be competent in this unit, a candidate must demonstrate knowledge of:</w:t>
      </w:r>
    </w:p>
    <w:p w:rsidR="00000000" w:rsidRPr="00AB427E" w:rsidP="00AB427E">
      <w:pPr>
        <w:pStyle w:val="ListBullet"/>
      </w:pPr>
      <w:r w:rsidRPr="00AB427E">
        <w:t>government building legislation and regulation</w:t>
      </w:r>
    </w:p>
    <w:p w:rsidR="00000000" w:rsidRPr="00AB427E" w:rsidP="00AB427E">
      <w:pPr>
        <w:pStyle w:val="ListBullet"/>
      </w:pPr>
      <w:r w:rsidRPr="00AB427E">
        <w:t>building codes, specifications and standards:</w:t>
      </w:r>
    </w:p>
    <w:p w:rsidR="00000000" w:rsidRPr="00AB427E" w:rsidP="00AB427E">
      <w:pPr>
        <w:pStyle w:val="ListBullet2"/>
      </w:pPr>
      <w:r w:rsidRPr="00AB427E">
        <w:t>the National Construc</w:t>
      </w:r>
      <w:r w:rsidRPr="00AB427E">
        <w:t>tion Code (NCC)</w:t>
      </w:r>
    </w:p>
    <w:p w:rsidR="00000000" w:rsidRPr="00AB427E" w:rsidP="00AB427E">
      <w:pPr>
        <w:pStyle w:val="ListBullet2"/>
      </w:pPr>
      <w:r w:rsidRPr="00AB427E">
        <w:t>Australian Standards</w:t>
      </w:r>
    </w:p>
    <w:p w:rsidR="00000000" w:rsidRPr="00AB427E" w:rsidP="00AB427E">
      <w:pPr>
        <w:pStyle w:val="ListBullet2"/>
      </w:pPr>
      <w:r w:rsidRPr="00AB427E">
        <w:t>project specifications</w:t>
      </w:r>
    </w:p>
    <w:p w:rsidR="00000000" w:rsidRPr="00AB427E" w:rsidP="00AB427E">
      <w:pPr>
        <w:pStyle w:val="ListBullet"/>
      </w:pPr>
      <w:r w:rsidRPr="00AB427E">
        <w:t>design principles and behaviour of structural members undergoing stress, strain, tension, compression, bending or combined actions</w:t>
      </w:r>
    </w:p>
    <w:p w:rsidR="00000000" w:rsidRPr="00AB427E" w:rsidP="00AB427E">
      <w:pPr>
        <w:pStyle w:val="ListBullet"/>
      </w:pPr>
      <w:r w:rsidRPr="00AB427E">
        <w:t>structural design:</w:t>
      </w:r>
    </w:p>
    <w:p w:rsidR="00000000" w:rsidRPr="00AB427E" w:rsidP="00AB427E">
      <w:pPr>
        <w:pStyle w:val="ListBullet2"/>
      </w:pPr>
      <w:r w:rsidRPr="00AB427E">
        <w:t>aesthetics</w:t>
      </w:r>
    </w:p>
    <w:p w:rsidR="00000000" w:rsidRPr="00AB427E" w:rsidP="00AB427E">
      <w:pPr>
        <w:pStyle w:val="ListBullet2"/>
      </w:pPr>
      <w:r w:rsidRPr="00AB427E">
        <w:t>economy</w:t>
      </w:r>
    </w:p>
    <w:p w:rsidR="00000000" w:rsidRPr="00AB427E" w:rsidP="00AB427E">
      <w:pPr>
        <w:pStyle w:val="ListBullet2"/>
      </w:pPr>
      <w:r w:rsidRPr="00AB427E">
        <w:t>equilibrium</w:t>
      </w:r>
    </w:p>
    <w:p w:rsidR="00000000" w:rsidRPr="00AB427E" w:rsidP="00AB427E">
      <w:pPr>
        <w:pStyle w:val="ListBullet2"/>
      </w:pPr>
      <w:r w:rsidRPr="00AB427E">
        <w:t>functionality</w:t>
      </w:r>
    </w:p>
    <w:p w:rsidR="00000000" w:rsidRPr="00AB427E" w:rsidP="00AB427E">
      <w:pPr>
        <w:pStyle w:val="ListBullet2"/>
      </w:pPr>
      <w:r w:rsidRPr="00AB427E">
        <w:t>stability</w:t>
      </w:r>
    </w:p>
    <w:p w:rsidR="00000000" w:rsidRPr="00AB427E" w:rsidP="00AB427E">
      <w:pPr>
        <w:pStyle w:val="ListBullet2"/>
      </w:pPr>
      <w:r w:rsidRPr="00AB427E">
        <w:t>strength</w:t>
      </w:r>
    </w:p>
    <w:p w:rsidR="00000000" w:rsidRPr="00AB427E" w:rsidP="00AB427E">
      <w:pPr>
        <w:pStyle w:val="ListBullet"/>
      </w:pPr>
      <w:r w:rsidRPr="00AB427E">
        <w:t>properties, characteristics and limitations of structural materials:</w:t>
      </w:r>
    </w:p>
    <w:p w:rsidR="00000000" w:rsidRPr="00AB427E" w:rsidP="00AB427E">
      <w:pPr>
        <w:pStyle w:val="ListBullet2"/>
      </w:pPr>
      <w:r w:rsidRPr="00AB427E">
        <w:t>reinforced and pre-stressed concrete and tilt-up panels</w:t>
      </w:r>
    </w:p>
    <w:p w:rsidR="00000000" w:rsidRPr="00AB427E" w:rsidP="00AB427E">
      <w:pPr>
        <w:pStyle w:val="ListBullet2"/>
      </w:pPr>
      <w:r w:rsidRPr="00AB427E">
        <w:t>composite steel and concrete</w:t>
      </w:r>
    </w:p>
    <w:p w:rsidR="00000000" w:rsidRPr="00AB427E" w:rsidP="00AB427E">
      <w:pPr>
        <w:pStyle w:val="ListBullet2"/>
      </w:pPr>
      <w:r w:rsidRPr="00AB427E">
        <w:t>masonry</w:t>
      </w:r>
    </w:p>
    <w:p w:rsidR="00000000" w:rsidRPr="00AB427E" w:rsidP="00AB427E">
      <w:pPr>
        <w:pStyle w:val="ListBullet2"/>
      </w:pPr>
      <w:r w:rsidRPr="00AB427E">
        <w:t>steel (cold-formed steel) and aluminium</w:t>
      </w:r>
    </w:p>
    <w:p w:rsidR="00000000" w:rsidRPr="00AB427E" w:rsidP="00AB427E">
      <w:pPr>
        <w:pStyle w:val="ListBullet"/>
      </w:pPr>
      <w:r w:rsidRPr="00AB427E">
        <w:t>performance characteristics of columns analysis:</w:t>
      </w:r>
    </w:p>
    <w:p w:rsidR="00000000" w:rsidRPr="00AB427E" w:rsidP="00AB427E">
      <w:pPr>
        <w:pStyle w:val="ListBullet2"/>
      </w:pPr>
      <w:r w:rsidRPr="00AB427E">
        <w:t>bending behaviour and performance of loaded support beams</w:t>
      </w:r>
    </w:p>
    <w:p w:rsidR="00000000" w:rsidRPr="00AB427E" w:rsidP="00AB427E">
      <w:pPr>
        <w:pStyle w:val="ListBullet2"/>
      </w:pPr>
      <w:r w:rsidRPr="00AB427E">
        <w:t>eccentric and axial load effect</w:t>
      </w:r>
    </w:p>
    <w:p w:rsidR="00000000" w:rsidRPr="00AB427E" w:rsidP="00AB427E">
      <w:pPr>
        <w:pStyle w:val="ListBullet2"/>
      </w:pPr>
      <w:r w:rsidRPr="00AB427E">
        <w:t>load spanning elements for bending moments, shear forces, deflection and torsion</w:t>
      </w:r>
    </w:p>
    <w:p w:rsidR="00000000" w:rsidRPr="00AB427E" w:rsidP="00AB427E">
      <w:pPr>
        <w:pStyle w:val="ListBullet2"/>
      </w:pPr>
      <w:r w:rsidRPr="00AB427E">
        <w:t>effect of connections</w:t>
      </w:r>
    </w:p>
    <w:p w:rsidR="00000000" w:rsidRPr="00AB427E" w:rsidP="00AB427E">
      <w:pPr>
        <w:pStyle w:val="ListBullet2"/>
      </w:pPr>
      <w:r w:rsidRPr="00AB427E">
        <w:t>effect of sla</w:t>
      </w:r>
      <w:r w:rsidRPr="00AB427E">
        <w:t>b behaviour in relation to spans and stress distribution</w:t>
      </w:r>
    </w:p>
    <w:p w:rsidR="00000000" w:rsidRPr="00AB427E" w:rsidP="00AB427E">
      <w:pPr>
        <w:pStyle w:val="ListBullet2"/>
      </w:pPr>
      <w:r w:rsidRPr="00AB427E">
        <w:t>effect of slenderness ratio</w:t>
      </w:r>
    </w:p>
    <w:p w:rsidR="00000000" w:rsidRPr="00AB427E" w:rsidP="00AB427E">
      <w:pPr>
        <w:pStyle w:val="ListBullet"/>
      </w:pPr>
      <w:r w:rsidRPr="00AB427E">
        <w:t>high performance structural elements:</w:t>
      </w:r>
    </w:p>
    <w:p w:rsidR="00000000" w:rsidRPr="00AB427E" w:rsidP="00AB427E">
      <w:pPr>
        <w:pStyle w:val="ListBullet2"/>
      </w:pPr>
      <w:r w:rsidRPr="00AB427E">
        <w:t>castellated beams</w:t>
      </w:r>
    </w:p>
    <w:p w:rsidR="00000000" w:rsidRPr="00AB427E" w:rsidP="00AB427E">
      <w:pPr>
        <w:pStyle w:val="ListBullet2"/>
      </w:pPr>
      <w:r w:rsidRPr="00AB427E">
        <w:t>connections</w:t>
      </w:r>
    </w:p>
    <w:p w:rsidR="00000000" w:rsidRPr="00AB427E" w:rsidP="00AB427E">
      <w:pPr>
        <w:pStyle w:val="ListBullet2"/>
      </w:pPr>
      <w:r w:rsidRPr="00AB427E">
        <w:t>fire resistance</w:t>
      </w:r>
    </w:p>
    <w:p w:rsidR="00000000" w:rsidRPr="00AB427E" w:rsidP="00AB427E">
      <w:pPr>
        <w:pStyle w:val="ListBullet2"/>
      </w:pPr>
      <w:r w:rsidRPr="00AB427E">
        <w:t>laminated beams</w:t>
      </w:r>
    </w:p>
    <w:p w:rsidR="00000000" w:rsidRPr="00AB427E" w:rsidP="00AB427E">
      <w:pPr>
        <w:pStyle w:val="ListBullet2"/>
      </w:pPr>
      <w:r w:rsidRPr="00AB427E">
        <w:t>pre-stressed beams</w:t>
      </w:r>
    </w:p>
    <w:p w:rsidR="00000000" w:rsidRPr="00AB427E" w:rsidP="00AB427E">
      <w:pPr>
        <w:pStyle w:val="ListBullet2"/>
      </w:pPr>
      <w:r w:rsidRPr="00AB427E">
        <w:t>slabs</w:t>
      </w:r>
    </w:p>
    <w:p w:rsidR="00000000" w:rsidRPr="00AB427E" w:rsidP="00AB427E">
      <w:pPr>
        <w:pStyle w:val="ListBullet2"/>
      </w:pPr>
      <w:r w:rsidRPr="00AB427E">
        <w:t>trusses</w:t>
      </w:r>
    </w:p>
    <w:p w:rsidR="00000000" w:rsidRPr="00AB427E" w:rsidP="00AB427E">
      <w:pPr>
        <w:pStyle w:val="ListBullet2"/>
      </w:pPr>
      <w:r w:rsidRPr="00AB427E">
        <w:t>use of steel to reinforce concrete</w:t>
      </w:r>
    </w:p>
    <w:p w:rsidR="00000000" w:rsidRPr="00AB427E" w:rsidP="00AB427E">
      <w:pPr>
        <w:pStyle w:val="ListBullet2"/>
      </w:pPr>
      <w:r w:rsidRPr="00AB427E">
        <w:t>waffle slabs</w:t>
      </w:r>
    </w:p>
    <w:p w:rsidR="00000000" w:rsidRPr="00AB427E" w:rsidP="00AB427E">
      <w:pPr>
        <w:pStyle w:val="ListBullet"/>
      </w:pPr>
      <w:r w:rsidRPr="00AB427E">
        <w:t>application of structural principles in buildings:</w:t>
      </w:r>
    </w:p>
    <w:p w:rsidR="00000000" w:rsidRPr="00AB427E" w:rsidP="00AB427E">
      <w:pPr>
        <w:pStyle w:val="ListBullet2"/>
      </w:pPr>
      <w:r w:rsidRPr="00AB427E">
        <w:t>dead and live load calculations and characteristics</w:t>
      </w:r>
    </w:p>
    <w:p w:rsidR="00000000" w:rsidRPr="00AB427E" w:rsidP="00AB427E">
      <w:pPr>
        <w:pStyle w:val="ListBullet2"/>
      </w:pPr>
      <w:r w:rsidRPr="00AB427E">
        <w:t>fire resistance of materials</w:t>
      </w:r>
    </w:p>
    <w:p w:rsidR="00000000" w:rsidRPr="00AB427E" w:rsidP="00AB427E">
      <w:pPr>
        <w:pStyle w:val="ListBullet2"/>
      </w:pPr>
      <w:r w:rsidRPr="00AB427E">
        <w:t>impact of thermal effects</w:t>
      </w:r>
    </w:p>
    <w:p w:rsidR="00000000" w:rsidRPr="00AB427E" w:rsidP="00AB427E">
      <w:pPr>
        <w:pStyle w:val="ListBullet2"/>
      </w:pPr>
      <w:r w:rsidRPr="00AB427E">
        <w:t>impact of time-dependent effects, including creep and shrinkage</w:t>
      </w:r>
    </w:p>
    <w:p w:rsidR="00000000" w:rsidRPr="00AB427E" w:rsidP="00AB427E">
      <w:pPr>
        <w:pStyle w:val="ListBullet2"/>
      </w:pPr>
      <w:r w:rsidRPr="00AB427E">
        <w:t>impact of wind, sno</w:t>
      </w:r>
      <w:r w:rsidRPr="00AB427E">
        <w:t>w, groundwater, earthquake, liquid pressure, rainwater and earth pressure actions</w:t>
      </w:r>
    </w:p>
    <w:p w:rsidR="00000000" w:rsidRPr="00AB427E" w:rsidP="00AB427E">
      <w:pPr>
        <w:pStyle w:val="ListBullet2"/>
      </w:pPr>
      <w:r w:rsidRPr="00AB427E">
        <w:t>structural resistance of forms of construction</w:t>
      </w:r>
    </w:p>
    <w:p w:rsidR="00000000" w:rsidRPr="00AB427E" w:rsidP="00AB427E">
      <w:pPr>
        <w:pStyle w:val="ListBullet2"/>
      </w:pPr>
      <w:r w:rsidRPr="00AB427E">
        <w:t>structural resistance of materials</w:t>
      </w:r>
    </w:p>
    <w:p w:rsidR="00000000" w:rsidRPr="00AB427E" w:rsidP="00AB427E">
      <w:pPr>
        <w:pStyle w:val="ListBullet"/>
      </w:pPr>
      <w:r w:rsidRPr="00AB427E">
        <w:t>project working drawings and specifications</w:t>
      </w:r>
    </w:p>
    <w:p w:rsidR="00000000" w:rsidRPr="00AB427E" w:rsidP="00AB427E">
      <w:pPr>
        <w:pStyle w:val="ListBullet"/>
      </w:pPr>
      <w:r w:rsidRPr="00AB427E">
        <w:t>work health and safety (WHS) and organisational quality procedures and processes</w:t>
      </w:r>
    </w:p>
    <w:p w:rsidR="00000000" w:rsidRPr="00AB427E" w:rsidP="00AB427E">
      <w:pPr>
        <w:pStyle w:val="ListBullet"/>
      </w:pPr>
      <w:r w:rsidRPr="00AB427E">
        <w:t>temporary structural elements:</w:t>
      </w:r>
    </w:p>
    <w:p w:rsidR="00000000" w:rsidRPr="00AB427E" w:rsidP="00AB427E">
      <w:pPr>
        <w:pStyle w:val="ListBullet2"/>
      </w:pPr>
      <w:r w:rsidRPr="00AB427E">
        <w:t>bracing</w:t>
      </w:r>
    </w:p>
    <w:p w:rsidR="00000000" w:rsidRPr="00AB427E" w:rsidP="00AB427E">
      <w:pPr>
        <w:pStyle w:val="ListBullet2"/>
      </w:pPr>
      <w:r w:rsidRPr="00AB427E">
        <w:t>close sheeting</w:t>
      </w:r>
    </w:p>
    <w:p w:rsidR="00000000" w:rsidRPr="00AB427E" w:rsidP="00AB427E">
      <w:pPr>
        <w:pStyle w:val="ListBullet2"/>
      </w:pPr>
      <w:r w:rsidRPr="00AB427E">
        <w:t>formwork props</w:t>
      </w:r>
    </w:p>
    <w:p w:rsidR="00000000" w:rsidRPr="00AB427E" w:rsidP="00AB427E">
      <w:pPr>
        <w:pStyle w:val="ListBullet2"/>
      </w:pPr>
      <w:r w:rsidRPr="00AB427E">
        <w:t>pressure resistant formwork</w:t>
      </w:r>
    </w:p>
    <w:p w:rsidR="00000000" w:rsidRPr="00AB427E" w:rsidP="00AB427E">
      <w:pPr>
        <w:pStyle w:val="ListBullet2"/>
      </w:pPr>
      <w:r w:rsidRPr="00AB427E">
        <w:t>scaffolding sole plates</w:t>
      </w:r>
    </w:p>
    <w:p w:rsidR="00000000" w:rsidRPr="00AB427E" w:rsidP="00AB427E">
      <w:pPr>
        <w:pStyle w:val="ListBullet2"/>
      </w:pPr>
      <w:r w:rsidRPr="00AB427E">
        <w:t>shields</w:t>
      </w:r>
    </w:p>
    <w:p w:rsidR="00000000" w:rsidRPr="00AB427E" w:rsidP="00AB427E">
      <w:pPr>
        <w:pStyle w:val="ListBullet2"/>
      </w:pPr>
      <w:r w:rsidRPr="00AB427E">
        <w:t>shoring collar sets</w:t>
      </w:r>
    </w:p>
    <w:p w:rsidR="00000000" w:rsidRPr="00AB427E" w:rsidP="00AB427E">
      <w:pPr>
        <w:pStyle w:val="ListBullet2"/>
      </w:pPr>
      <w:r w:rsidRPr="00AB427E">
        <w:t>soldier sets</w:t>
      </w:r>
    </w:p>
    <w:p w:rsidR="00000000" w:rsidRPr="00AB427E" w:rsidP="00AB427E">
      <w:pPr>
        <w:pStyle w:val="ListBullet2"/>
      </w:pPr>
      <w:r w:rsidRPr="00AB427E">
        <w:t>ties.</w:t>
      </w:r>
    </w:p>
    <w:p w:rsidR="00000000" w:rsidRPr="00AB427E" w:rsidP="00AB427E">
      <w:pPr>
        <w:pStyle w:val="AllowPageBreak"/>
      </w:pPr>
    </w:p>
    <w:p w:rsidR="00000000" w:rsidRPr="00AB427E" w:rsidP="00AB427E">
      <w:pPr>
        <w:pStyle w:val="Heading1"/>
      </w:pPr>
      <w:bookmarkStart w:id="4" w:name="O_1294502"/>
      <w:bookmarkEnd w:id="4"/>
      <w:r w:rsidRPr="00AB427E">
        <w:t>Assessment Conditions</w:t>
      </w:r>
    </w:p>
    <w:p w:rsidR="00000000" w:rsidRPr="00AB427E" w:rsidP="005635D0">
      <w:pPr>
        <w:pStyle w:val="BodyText"/>
      </w:pPr>
      <w:r w:rsidRPr="00AB427E">
        <w:t xml:space="preserve">Assessors must meet the requirements for assessors contained in the Standards for Registered Training Organisations. </w:t>
      </w:r>
    </w:p>
    <w:p w:rsidR="00000000" w:rsidRPr="00AB427E" w:rsidP="005635D0">
      <w:pPr>
        <w:pStyle w:val="BodyText"/>
      </w:pPr>
      <w:r w:rsidRPr="00AB427E">
        <w:t xml:space="preserve">Assessment can be undertaken in the workplace or in a simulated workplace environment. </w:t>
      </w:r>
    </w:p>
    <w:p w:rsidR="00000000" w:rsidRPr="00AB427E" w:rsidP="005635D0">
      <w:pPr>
        <w:pStyle w:val="BodyText"/>
      </w:pPr>
      <w:r w:rsidRPr="00AB427E">
        <w:t xml:space="preserve">A simulated environment is one that realistically replicates workplace conditions, materials and equipment, interactions with others and workplace irregularities, and which meets industry standards for safety and environmental practices.  </w:t>
      </w:r>
    </w:p>
    <w:p w:rsidR="00000000" w:rsidRPr="00AB427E" w:rsidP="005635D0">
      <w:pPr>
        <w:pStyle w:val="BodyText"/>
      </w:pPr>
      <w:r w:rsidRPr="00AB427E">
        <w:t xml:space="preserve">Candidates must </w:t>
      </w:r>
      <w:r w:rsidRPr="00AB427E">
        <w:t>have access to:</w:t>
      </w:r>
    </w:p>
    <w:p w:rsidR="00000000" w:rsidRPr="00AB427E" w:rsidP="00AB427E">
      <w:pPr>
        <w:pStyle w:val="ListBullet"/>
      </w:pPr>
      <w:r w:rsidRPr="00AB427E">
        <w:t>relevant current government building and construction and WHS legislation</w:t>
      </w:r>
    </w:p>
    <w:p w:rsidR="00000000" w:rsidRPr="00AB427E" w:rsidP="00AB427E">
      <w:pPr>
        <w:pStyle w:val="ListBullet"/>
      </w:pPr>
      <w:r w:rsidRPr="00AB427E">
        <w:t>the NCC, and other relevant industry and Australian codes and standards</w:t>
      </w:r>
    </w:p>
    <w:p w:rsidR="00000000" w:rsidRPr="00AB427E" w:rsidP="00AB427E">
      <w:pPr>
        <w:pStyle w:val="ListBullet"/>
      </w:pPr>
      <w:r w:rsidRPr="00AB427E">
        <w:t xml:space="preserve">environmental requirements and sustainability principles </w:t>
      </w:r>
    </w:p>
    <w:p w:rsidR="00000000" w:rsidRPr="00AB427E" w:rsidP="00AB427E">
      <w:pPr>
        <w:pStyle w:val="ListBullet"/>
      </w:pPr>
      <w:r w:rsidRPr="00AB427E">
        <w:t>manufacturer’s materials and produc</w:t>
      </w:r>
      <w:r w:rsidRPr="00AB427E">
        <w:t>t specifications and installation instructions for building materials in the project specifications</w:t>
      </w:r>
    </w:p>
    <w:p w:rsidR="00000000" w:rsidRPr="00AB427E" w:rsidP="00AB427E">
      <w:pPr>
        <w:pStyle w:val="ListBullet"/>
      </w:pPr>
      <w:r w:rsidRPr="00AB427E">
        <w:t>project plans, design brief, working drawings and specifications.</w:t>
      </w:r>
    </w:p>
    <w:p w:rsidR="00000000" w:rsidRPr="00AB427E" w:rsidP="00AB427E">
      <w:pPr>
        <w:pStyle w:val="AllowPageBreak"/>
      </w:pPr>
    </w:p>
    <w:p w:rsidR="00000000" w:rsidRPr="00AB427E" w:rsidP="00AB427E">
      <w:pPr>
        <w:pStyle w:val="Heading1"/>
      </w:pPr>
      <w:bookmarkStart w:id="5" w:name="O_1294515"/>
      <w:bookmarkEnd w:id="5"/>
      <w:r w:rsidRPr="00AB427E">
        <w:t>Links</w:t>
      </w:r>
    </w:p>
    <w:p w:rsidR="00000000" w:rsidRPr="00AB427E" w:rsidP="005635D0">
      <w:pPr>
        <w:pStyle w:val="BodyText"/>
      </w:pPr>
      <w:r w:rsidRPr="00AB427E">
        <w:t>Companion volumes to this training package are available at the V</w:t>
      </w:r>
      <w:r w:rsidRPr="00AB427E">
        <w:t xml:space="preserve">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D12B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B427E" w:rsidP="00AB427E"/>
    <w:sectPr w:rsidSect="00AB42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2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27E" w:rsidRPr="005635D0" w:rsidP="005635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2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5D0" w:rsidP="00AB42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35D0" w:rsidP="00AB42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635D0" w:rsidP="00AB42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2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5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27E" w:rsidRPr="005635D0" w:rsidP="005635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2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5D0" w:rsidRPr="002D2AF8" w:rsidP="00AB42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CPCCBC6014 Apply structural principles to the construction of large, high-rise and complex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635D0" w:rsidP="00AB42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B27A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E074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F2BE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2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2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2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2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2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2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2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2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2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2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2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27E"/>
  </w:style>
  <w:style w:type="character" w:customStyle="1" w:styleId="Heading1Char">
    <w:name w:val="Heading 1 Char"/>
    <w:basedOn w:val="DefaultParagraphFont"/>
    <w:link w:val="Heading1"/>
    <w:rsid w:val="00AB42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2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2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42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42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42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2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42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2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2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2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2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2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2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2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2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2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2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2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2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2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2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42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427E"/>
    <w:rPr>
      <w:b/>
      <w:spacing w:val="0"/>
    </w:rPr>
  </w:style>
  <w:style w:type="paragraph" w:customStyle="1" w:styleId="SuperTitle">
    <w:name w:val="SuperTitle"/>
    <w:basedOn w:val="Title"/>
    <w:rsid w:val="00AB42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2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2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42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2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2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2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2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2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2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2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2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427E"/>
    <w:rPr>
      <w:i/>
    </w:rPr>
  </w:style>
  <w:style w:type="paragraph" w:styleId="Caption">
    <w:name w:val="caption"/>
    <w:basedOn w:val="BodyText"/>
    <w:next w:val="Normal"/>
    <w:qFormat/>
    <w:rsid w:val="00AB42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2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2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27E"/>
  </w:style>
  <w:style w:type="paragraph" w:styleId="TableofFigures">
    <w:name w:val="table of figures"/>
    <w:basedOn w:val="Normal"/>
    <w:next w:val="Normal"/>
    <w:semiHidden/>
    <w:rsid w:val="00AB42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2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427E"/>
    <w:rPr>
      <w:rFonts w:ascii="Wingdings" w:hAnsi="Wingdings"/>
    </w:rPr>
  </w:style>
  <w:style w:type="paragraph" w:customStyle="1" w:styleId="TableHeading">
    <w:name w:val="Table Heading"/>
    <w:basedOn w:val="HeadingBase"/>
    <w:rsid w:val="00AB42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27E"/>
    <w:rPr>
      <w:color w:val="0033CC"/>
      <w:u w:val="none"/>
    </w:rPr>
  </w:style>
  <w:style w:type="paragraph" w:customStyle="1" w:styleId="BodyTextRight">
    <w:name w:val="Body Text Right"/>
    <w:basedOn w:val="BodyText"/>
    <w:rsid w:val="00AB42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2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2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2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2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2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27E"/>
    <w:rPr>
      <w:sz w:val="32"/>
    </w:rPr>
  </w:style>
  <w:style w:type="paragraph" w:customStyle="1" w:styleId="HeadingProcedure">
    <w:name w:val="Heading Procedure"/>
    <w:basedOn w:val="HeadingBase"/>
    <w:next w:val="Normal"/>
    <w:rsid w:val="00AB42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27E"/>
    <w:pPr>
      <w:spacing w:before="60" w:after="60"/>
    </w:pPr>
  </w:style>
  <w:style w:type="paragraph" w:styleId="ListContinue">
    <w:name w:val="List Continue"/>
    <w:basedOn w:val="List"/>
    <w:rsid w:val="00AB427E"/>
    <w:pPr>
      <w:ind w:firstLine="0"/>
    </w:pPr>
  </w:style>
  <w:style w:type="paragraph" w:customStyle="1" w:styleId="ListNote">
    <w:name w:val="List Note"/>
    <w:basedOn w:val="List"/>
    <w:rsid w:val="00AB42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2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2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27E"/>
    <w:rPr>
      <w:rFonts w:ascii="Courier New" w:hAnsi="Courier New"/>
    </w:rPr>
  </w:style>
  <w:style w:type="paragraph" w:customStyle="1" w:styleId="NoteBullet">
    <w:name w:val="Note Bullet"/>
    <w:basedOn w:val="Note"/>
    <w:rsid w:val="00AB42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2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2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2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2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42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2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27E"/>
    <w:rPr>
      <w:b/>
      <w:smallCaps/>
    </w:rPr>
  </w:style>
  <w:style w:type="paragraph" w:customStyle="1" w:styleId="TableListNumber">
    <w:name w:val="Table List Number"/>
    <w:basedOn w:val="ListNumber"/>
    <w:rsid w:val="00AB42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2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27E"/>
    <w:pPr>
      <w:numPr>
        <w:numId w:val="9"/>
      </w:numPr>
    </w:pPr>
  </w:style>
  <w:style w:type="paragraph" w:customStyle="1" w:styleId="ListAlpha2">
    <w:name w:val="List Alpha 2"/>
    <w:basedOn w:val="List2"/>
    <w:rsid w:val="00AB427E"/>
    <w:pPr>
      <w:numPr>
        <w:numId w:val="8"/>
      </w:numPr>
    </w:pPr>
  </w:style>
  <w:style w:type="paragraph" w:styleId="List2">
    <w:name w:val="List 2"/>
    <w:basedOn w:val="BodyText"/>
    <w:rsid w:val="00AB42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2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2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2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2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2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427E"/>
    <w:pPr>
      <w:numPr>
        <w:numId w:val="4"/>
      </w:numPr>
    </w:pPr>
  </w:style>
  <w:style w:type="paragraph" w:styleId="ListContinue2">
    <w:name w:val="List Continue 2"/>
    <w:basedOn w:val="List2"/>
    <w:rsid w:val="00AB427E"/>
    <w:pPr>
      <w:ind w:firstLine="0"/>
    </w:pPr>
  </w:style>
  <w:style w:type="paragraph" w:styleId="ListContinue3">
    <w:name w:val="List Continue 3"/>
    <w:basedOn w:val="List3"/>
    <w:rsid w:val="00AB427E"/>
    <w:pPr>
      <w:ind w:left="1021" w:firstLine="0"/>
    </w:pPr>
  </w:style>
  <w:style w:type="paragraph" w:styleId="ListContinue4">
    <w:name w:val="List Continue 4"/>
    <w:basedOn w:val="List4"/>
    <w:rsid w:val="00AB427E"/>
    <w:pPr>
      <w:ind w:firstLine="0"/>
    </w:pPr>
  </w:style>
  <w:style w:type="paragraph" w:styleId="ListContinue5">
    <w:name w:val="List Continue 5"/>
    <w:basedOn w:val="List5"/>
    <w:rsid w:val="00AB427E"/>
    <w:pPr>
      <w:ind w:firstLine="0"/>
    </w:pPr>
  </w:style>
  <w:style w:type="paragraph" w:styleId="ListNumber3">
    <w:name w:val="List Number 3"/>
    <w:basedOn w:val="List3"/>
    <w:rsid w:val="00AB427E"/>
    <w:pPr>
      <w:numPr>
        <w:numId w:val="5"/>
      </w:numPr>
    </w:pPr>
  </w:style>
  <w:style w:type="paragraph" w:styleId="ListNumber4">
    <w:name w:val="List Number 4"/>
    <w:basedOn w:val="List4"/>
    <w:rsid w:val="00AB427E"/>
    <w:pPr>
      <w:numPr>
        <w:numId w:val="6"/>
      </w:numPr>
    </w:pPr>
  </w:style>
  <w:style w:type="paragraph" w:styleId="ListNumber5">
    <w:name w:val="List Number 5"/>
    <w:basedOn w:val="List5"/>
    <w:rsid w:val="00AB427E"/>
    <w:pPr>
      <w:numPr>
        <w:numId w:val="7"/>
      </w:numPr>
    </w:pPr>
  </w:style>
  <w:style w:type="paragraph" w:styleId="BlockText">
    <w:name w:val="Block Text"/>
    <w:basedOn w:val="Normal"/>
    <w:rsid w:val="00AB42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2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27E"/>
    <w:rPr>
      <w:sz w:val="16"/>
      <w:vertAlign w:val="superscript"/>
    </w:rPr>
  </w:style>
  <w:style w:type="character" w:customStyle="1" w:styleId="Symbols">
    <w:name w:val="Symbols"/>
    <w:basedOn w:val="DefaultParagraphFont"/>
    <w:rsid w:val="00AB427E"/>
    <w:rPr>
      <w:rFonts w:ascii="Symbol" w:hAnsi="Symbol"/>
    </w:rPr>
  </w:style>
  <w:style w:type="character" w:customStyle="1" w:styleId="MenuOptions">
    <w:name w:val="Menu Options"/>
    <w:basedOn w:val="DefaultParagraphFont"/>
    <w:rsid w:val="00AB42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27E"/>
    <w:rPr>
      <w:b/>
    </w:rPr>
  </w:style>
  <w:style w:type="character" w:customStyle="1" w:styleId="Underlined">
    <w:name w:val="Underlined"/>
    <w:basedOn w:val="DefaultParagraphFont"/>
    <w:rsid w:val="00AB427E"/>
    <w:rPr>
      <w:u w:val="single"/>
    </w:rPr>
  </w:style>
  <w:style w:type="paragraph" w:customStyle="1" w:styleId="TableBodyTextRight">
    <w:name w:val="Table Body Text Right"/>
    <w:basedOn w:val="TableBodyText"/>
    <w:rsid w:val="00AB42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27E"/>
    <w:rPr>
      <w:sz w:val="18"/>
    </w:rPr>
  </w:style>
  <w:style w:type="paragraph" w:customStyle="1" w:styleId="BodySmallRight">
    <w:name w:val="Body Small Right"/>
    <w:basedOn w:val="BodyTextRight"/>
    <w:rsid w:val="00AB427E"/>
    <w:rPr>
      <w:sz w:val="18"/>
      <w:szCs w:val="18"/>
    </w:rPr>
  </w:style>
  <w:style w:type="paragraph" w:customStyle="1" w:styleId="MarginEdition">
    <w:name w:val="Margin Edition"/>
    <w:basedOn w:val="MarginNote"/>
    <w:rsid w:val="00AB42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27E"/>
    <w:rPr>
      <w:sz w:val="2"/>
      <w:szCs w:val="2"/>
    </w:rPr>
  </w:style>
  <w:style w:type="character" w:customStyle="1" w:styleId="Small">
    <w:name w:val="Small"/>
    <w:basedOn w:val="DefaultParagraphFont"/>
    <w:rsid w:val="00AB427E"/>
    <w:rPr>
      <w:sz w:val="16"/>
    </w:rPr>
  </w:style>
  <w:style w:type="paragraph" w:customStyle="1" w:styleId="WideTable">
    <w:name w:val="Wide Table"/>
    <w:basedOn w:val="Normal"/>
    <w:rsid w:val="00AB42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27E"/>
  </w:style>
  <w:style w:type="paragraph" w:styleId="Quote">
    <w:name w:val="Quote"/>
    <w:basedOn w:val="Heading1"/>
    <w:link w:val="QuoteChar"/>
    <w:qFormat/>
    <w:rsid w:val="00AB42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2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27E"/>
    <w:pPr>
      <w:pageBreakBefore/>
    </w:pPr>
  </w:style>
  <w:style w:type="paragraph" w:customStyle="1" w:styleId="Border">
    <w:name w:val="Border"/>
    <w:basedOn w:val="Normal"/>
    <w:qFormat/>
    <w:rsid w:val="00AB42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2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2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2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2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2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2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2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2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27E"/>
    <w:rPr>
      <w:u w:val="single"/>
    </w:rPr>
  </w:style>
  <w:style w:type="character" w:customStyle="1" w:styleId="BoldandItalics">
    <w:name w:val="Bold and Italics"/>
    <w:qFormat/>
    <w:rsid w:val="00AB427E"/>
    <w:rPr>
      <w:b/>
      <w:i/>
      <w:u w:val="none"/>
    </w:rPr>
  </w:style>
  <w:style w:type="paragraph" w:styleId="BalloonText">
    <w:name w:val="Balloon Text"/>
    <w:basedOn w:val="Normal"/>
    <w:link w:val="BalloonTextChar"/>
    <w:rsid w:val="00AB42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2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2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2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2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2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27E"/>
    <w:pPr>
      <w:spacing w:before="0" w:after="0"/>
    </w:pPr>
  </w:style>
  <w:style w:type="paragraph" w:customStyle="1" w:styleId="BodyTextBold">
    <w:name w:val="Body Text Bold"/>
    <w:basedOn w:val="BodyText"/>
    <w:qFormat/>
    <w:rsid w:val="00AB427E"/>
    <w:rPr>
      <w:b/>
    </w:rPr>
  </w:style>
  <w:style w:type="character" w:styleId="Hyperlink">
    <w:name w:val="Hyperlink"/>
    <w:basedOn w:val="DefaultParagraphFont"/>
    <w:uiPriority w:val="99"/>
    <w:unhideWhenUsed/>
    <w:rsid w:val="005635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564</Words>
  <Characters>3928</Characters>
  <Application>Microsoft Office Word</Application>
  <DocSecurity>0</DocSecurity>
  <Lines>115</Lines>
  <Paragraphs>99</Paragraphs>
  <ScaleCrop>false</ScaleCrop>
  <Company>Author-it Software Corporation Ltd.</Company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CPCCBC6014 Apply structural principles to the construction of large, high-rise and complex buildings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2024-12-24T01:23:00Z</dcterms:created>
  <dcterms:modified xsi:type="dcterms:W3CDTF">2024-12-24T01:23:00Z</dcterms:modified>
</cp:coreProperties>
</file>