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E23" w:rsidP="00A73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CPCCBC6008 Develop and implement an estimating and tendering system</w:t>
      </w:r>
      <w:r>
        <w:fldChar w:fldCharType="end"/>
      </w:r>
    </w:p>
    <w:p w:rsidR="00A73E23" w:rsidP="00A73E23">
      <w:pPr>
        <w:pStyle w:val="Version"/>
        <w:sectPr w:rsidSect="00A10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098F" w:rsidP="00A1098F">
      <w:pPr>
        <w:pStyle w:val="SuperHeading"/>
      </w:pPr>
      <w:r w:rsidRPr="00A1098F">
        <w:t>Assessment Requirements for CPCCBC6008 Develop and implement an estimating and tendering system</w:t>
      </w:r>
    </w:p>
    <w:p w:rsidR="00000000" w:rsidRPr="00A1098F" w:rsidP="00A1098F">
      <w:pPr>
        <w:pStyle w:val="Heading1"/>
      </w:pPr>
      <w:bookmarkStart w:id="1" w:name="O_1294201"/>
      <w:bookmarkEnd w:id="1"/>
      <w:r w:rsidRPr="00A109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8F">
            <w:pPr>
              <w:pStyle w:val="BodyText"/>
              <w:rPr>
                <w:lang w:val="en-NZ"/>
              </w:rPr>
            </w:pPr>
            <w:r w:rsidRPr="00A1098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8F">
            <w:pPr>
              <w:pStyle w:val="BodyText"/>
              <w:rPr>
                <w:lang w:val="en-NZ"/>
              </w:rPr>
            </w:pPr>
            <w:r w:rsidRPr="00A1098F">
              <w:t>Updated reference to general construction induction training program.</w:t>
            </w:r>
          </w:p>
        </w:tc>
      </w:tr>
      <w:tr w:rsidTr="00A1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8F">
            <w:pPr>
              <w:pStyle w:val="BodyText"/>
              <w:rPr>
                <w:lang w:val="en-NZ"/>
              </w:rPr>
            </w:pPr>
            <w:r w:rsidRPr="00A109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8F" w:rsidP="00A1098F">
            <w:pPr>
              <w:pStyle w:val="BodyText"/>
            </w:pPr>
            <w:r w:rsidRPr="00A1098F">
              <w:t>This version first released with CPC Construction, Plumbing and Services Training Package Release 5.0.</w:t>
            </w:r>
          </w:p>
          <w:p w:rsidR="00000000" w:rsidRPr="00A1098F" w:rsidP="00A1098F">
            <w:pPr>
              <w:pStyle w:val="BodyText"/>
            </w:pPr>
            <w:r w:rsidRPr="00A1098F">
              <w:t xml:space="preserve">Supersedes and is equivalent to CPCCBC6008A Develop and implement an appropriate estimating and tendering system.  Change to title.  Updated to meet the </w:t>
            </w:r>
            <w:r w:rsidRPr="00A1098F">
              <w:t>Standards for Training Packages 2012.</w:t>
            </w:r>
          </w:p>
        </w:tc>
      </w:tr>
    </w:tbl>
    <w:p w:rsidR="00000000" w:rsidRPr="00A1098F" w:rsidP="00A1098F">
      <w:pPr>
        <w:pStyle w:val="BodyText"/>
      </w:pPr>
    </w:p>
    <w:p w:rsidR="00000000" w:rsidRPr="00A1098F" w:rsidP="00A1098F">
      <w:pPr>
        <w:pStyle w:val="AllowPageBreak"/>
      </w:pPr>
    </w:p>
    <w:p w:rsidR="00000000" w:rsidRPr="00A1098F" w:rsidP="00A1098F">
      <w:pPr>
        <w:pStyle w:val="Heading1"/>
      </w:pPr>
      <w:bookmarkStart w:id="2" w:name="O_1294200"/>
      <w:bookmarkEnd w:id="2"/>
      <w:r w:rsidRPr="00A1098F">
        <w:t>Performance Evidence</w:t>
      </w:r>
    </w:p>
    <w:p w:rsidR="00000000" w:rsidRPr="00A1098F" w:rsidP="00A73E23">
      <w:pPr>
        <w:pStyle w:val="BodyText"/>
      </w:pPr>
      <w:r w:rsidRPr="00A1098F">
        <w:t xml:space="preserve">To demonstrate competency, a candidate must meet the elements and performance criteria of this unit by developing and implementing an effective estimating and tendering system </w:t>
      </w:r>
      <w:r w:rsidRPr="00A1098F">
        <w:t>for a building and construction organisation appropriate to the organisation’s business activities.</w:t>
      </w:r>
    </w:p>
    <w:p w:rsidR="00000000" w:rsidRPr="00A1098F" w:rsidP="00A73E23">
      <w:pPr>
        <w:pStyle w:val="BodyText"/>
      </w:pPr>
      <w:r w:rsidRPr="00A1098F">
        <w:t>In doing this, the candidate must:</w:t>
      </w:r>
    </w:p>
    <w:p w:rsidR="00000000" w:rsidRPr="00A1098F" w:rsidP="00A1098F">
      <w:pPr>
        <w:pStyle w:val="ListBullet"/>
      </w:pPr>
      <w:r w:rsidRPr="00A1098F">
        <w:t>comply with building, financial and industrial relations legislation, regulations, codes and standards</w:t>
      </w:r>
    </w:p>
    <w:p w:rsidR="00000000" w:rsidRPr="00A1098F" w:rsidP="00A1098F">
      <w:pPr>
        <w:pStyle w:val="ListBullet"/>
      </w:pPr>
      <w:r w:rsidRPr="00A1098F">
        <w:t>develop conceptual and strategic problem-solving systems</w:t>
      </w:r>
    </w:p>
    <w:p w:rsidR="00000000" w:rsidRPr="00A1098F" w:rsidP="00A1098F">
      <w:pPr>
        <w:pStyle w:val="ListBullet"/>
      </w:pPr>
      <w:r w:rsidRPr="00A1098F">
        <w:t>implement management practices which result in high level of staff productivity</w:t>
      </w:r>
    </w:p>
    <w:p w:rsidR="00000000" w:rsidRPr="00A1098F" w:rsidP="00A1098F">
      <w:pPr>
        <w:pStyle w:val="ListBullet"/>
      </w:pPr>
      <w:r w:rsidRPr="00A1098F">
        <w:t xml:space="preserve">interact effectively with internal and external stakeholders. </w:t>
      </w:r>
    </w:p>
    <w:p w:rsidR="00000000" w:rsidRPr="00A1098F" w:rsidP="00A1098F">
      <w:pPr>
        <w:pStyle w:val="AllowPageBreak"/>
      </w:pPr>
    </w:p>
    <w:p w:rsidR="00000000" w:rsidRPr="00A1098F" w:rsidP="00A1098F">
      <w:pPr>
        <w:pStyle w:val="Heading1"/>
      </w:pPr>
      <w:bookmarkStart w:id="3" w:name="O_1294199"/>
      <w:bookmarkEnd w:id="3"/>
      <w:r w:rsidRPr="00A1098F">
        <w:t>Knowledge Evidence</w:t>
      </w:r>
    </w:p>
    <w:p w:rsidR="00000000" w:rsidRPr="00A1098F" w:rsidP="00A73E23">
      <w:pPr>
        <w:pStyle w:val="BodyText"/>
      </w:pPr>
      <w:r w:rsidRPr="00A1098F">
        <w:t>To be competent in</w:t>
      </w:r>
      <w:r w:rsidRPr="00A1098F">
        <w:t xml:space="preserve"> this unit, a candidate must demonstrate knowledge of:</w:t>
      </w:r>
    </w:p>
    <w:p w:rsidR="00000000" w:rsidRPr="00A1098F" w:rsidP="00A1098F">
      <w:pPr>
        <w:pStyle w:val="ListBullet"/>
      </w:pPr>
      <w:r w:rsidRPr="00A1098F">
        <w:t>the appropriate building and construction industry sector and the nature of the contracts upon which its activities are based</w:t>
      </w:r>
    </w:p>
    <w:p w:rsidR="00000000" w:rsidRPr="00A1098F" w:rsidP="00A1098F">
      <w:pPr>
        <w:pStyle w:val="ListBullet"/>
      </w:pPr>
      <w:r w:rsidRPr="00A1098F">
        <w:t>relevant state or territory building and construction codes, standards and</w:t>
      </w:r>
      <w:r w:rsidRPr="00A1098F">
        <w:t xml:space="preserve"> regulations</w:t>
      </w:r>
    </w:p>
    <w:p w:rsidR="00000000" w:rsidRPr="00A1098F" w:rsidP="00A1098F">
      <w:pPr>
        <w:pStyle w:val="ListBullet"/>
      </w:pPr>
      <w:r w:rsidRPr="00A1098F">
        <w:t>factors to be considered in assessing the risk inherent in different types of building and construction projects</w:t>
      </w:r>
    </w:p>
    <w:p w:rsidR="00000000" w:rsidRPr="00A1098F" w:rsidP="00A1098F">
      <w:pPr>
        <w:pStyle w:val="ListBullet"/>
      </w:pPr>
      <w:r w:rsidRPr="00A1098F">
        <w:t>financial and business administration principles commensurate with organisational needs:</w:t>
      </w:r>
    </w:p>
    <w:p w:rsidR="00000000" w:rsidRPr="00A1098F" w:rsidP="00A1098F">
      <w:pPr>
        <w:pStyle w:val="ListBullet2"/>
      </w:pPr>
      <w:r w:rsidRPr="00A1098F">
        <w:t>identifying and interpreting strategic i</w:t>
      </w:r>
      <w:r w:rsidRPr="00A1098F">
        <w:t>nformation relating to financial viability</w:t>
      </w:r>
    </w:p>
    <w:p w:rsidR="00000000" w:rsidRPr="00A1098F" w:rsidP="00A1098F">
      <w:pPr>
        <w:pStyle w:val="ListBullet2"/>
      </w:pPr>
      <w:r w:rsidRPr="00A1098F">
        <w:t>accounting methods and systems</w:t>
      </w:r>
    </w:p>
    <w:p w:rsidR="00000000" w:rsidRPr="00A1098F" w:rsidP="00A1098F">
      <w:pPr>
        <w:pStyle w:val="ListBullet2"/>
      </w:pPr>
      <w:r w:rsidRPr="00A1098F">
        <w:t>calculating and apportioning of overheads and margins</w:t>
      </w:r>
    </w:p>
    <w:p w:rsidR="00000000" w:rsidRPr="00A1098F" w:rsidP="00A1098F">
      <w:pPr>
        <w:pStyle w:val="ListBullet2"/>
      </w:pPr>
      <w:r w:rsidRPr="00A1098F">
        <w:t>subcontracting and organisational contracting rates</w:t>
      </w:r>
    </w:p>
    <w:p w:rsidR="00000000" w:rsidRPr="00A1098F" w:rsidP="00A1098F">
      <w:pPr>
        <w:pStyle w:val="ListBullet"/>
      </w:pPr>
      <w:r w:rsidRPr="00A1098F">
        <w:t>human resource practices and the industry</w:t>
      </w:r>
      <w:r>
        <w:t>’</w:t>
      </w:r>
      <w:r w:rsidRPr="00A1098F">
        <w:t>s industrial relations climate and practices</w:t>
      </w:r>
    </w:p>
    <w:p w:rsidR="00000000" w:rsidRPr="00A1098F" w:rsidP="00A1098F">
      <w:pPr>
        <w:pStyle w:val="ListBullet"/>
      </w:pPr>
      <w:r w:rsidRPr="00A1098F">
        <w:t>socioeconomic and political factors which determine the climate in that sector of the building and construction industry</w:t>
      </w:r>
    </w:p>
    <w:p w:rsidR="00000000" w:rsidRPr="00A1098F" w:rsidP="00A1098F">
      <w:pPr>
        <w:pStyle w:val="ListBullet"/>
      </w:pPr>
      <w:r w:rsidRPr="00A1098F">
        <w:t>factors impacting on the tender process:</w:t>
      </w:r>
    </w:p>
    <w:p w:rsidR="00000000" w:rsidRPr="00A1098F" w:rsidP="00A1098F">
      <w:pPr>
        <w:pStyle w:val="ListBullet2"/>
      </w:pPr>
      <w:r w:rsidRPr="00A1098F">
        <w:t>legisl</w:t>
      </w:r>
      <w:r w:rsidRPr="00A1098F">
        <w:t>ative and regulatory requirements and codes of practice</w:t>
      </w:r>
    </w:p>
    <w:p w:rsidR="00000000" w:rsidRPr="00A1098F" w:rsidP="00A1098F">
      <w:pPr>
        <w:pStyle w:val="ListBullet2"/>
      </w:pPr>
      <w:r w:rsidRPr="00A1098F">
        <w:t>market rates, trends and technological improvements and variations</w:t>
      </w:r>
    </w:p>
    <w:p w:rsidR="00000000" w:rsidRPr="00A1098F" w:rsidP="00A1098F">
      <w:pPr>
        <w:pStyle w:val="ListBullet2"/>
      </w:pPr>
      <w:r w:rsidRPr="00A1098F">
        <w:t>materials and labour cost determination</w:t>
      </w:r>
    </w:p>
    <w:p w:rsidR="00000000" w:rsidRPr="00A1098F" w:rsidP="00A1098F">
      <w:pPr>
        <w:pStyle w:val="ListBullet2"/>
      </w:pPr>
      <w:r w:rsidRPr="00A1098F">
        <w:t>range of contracts employed by the organisation</w:t>
      </w:r>
    </w:p>
    <w:p w:rsidR="00000000" w:rsidRPr="00A1098F" w:rsidP="00A1098F">
      <w:pPr>
        <w:pStyle w:val="ListBullet2"/>
      </w:pPr>
      <w:r w:rsidRPr="00A1098F">
        <w:t>standard organisational documentation.</w:t>
      </w:r>
    </w:p>
    <w:p w:rsidR="00000000" w:rsidRPr="00A1098F" w:rsidP="00A1098F">
      <w:pPr>
        <w:pStyle w:val="AllowPageBreak"/>
      </w:pPr>
    </w:p>
    <w:p w:rsidR="00000000" w:rsidRPr="00A1098F" w:rsidP="00A1098F">
      <w:pPr>
        <w:pStyle w:val="Heading1"/>
      </w:pPr>
      <w:bookmarkStart w:id="4" w:name="O_1294198"/>
      <w:bookmarkEnd w:id="4"/>
      <w:r w:rsidRPr="00A1098F">
        <w:t>Assessment Conditions</w:t>
      </w:r>
    </w:p>
    <w:p w:rsidR="00000000" w:rsidRPr="00A1098F" w:rsidP="00A73E23">
      <w:pPr>
        <w:pStyle w:val="BodyText"/>
      </w:pPr>
      <w:r w:rsidRPr="00A1098F">
        <w:t xml:space="preserve">Assessors must meet the requirements for assessors contained in the Standards for Registered Training Organisations. </w:t>
      </w:r>
    </w:p>
    <w:p w:rsidR="00000000" w:rsidRPr="00A1098F" w:rsidP="00A73E23">
      <w:pPr>
        <w:pStyle w:val="BodyText"/>
      </w:pPr>
      <w:r w:rsidRPr="00A1098F">
        <w:t xml:space="preserve">Assessment can be undertaken in the workplace or in a simulated workplace environment. </w:t>
      </w:r>
    </w:p>
    <w:p w:rsidR="00000000" w:rsidRPr="00A1098F" w:rsidP="00A73E23">
      <w:pPr>
        <w:pStyle w:val="BodyText"/>
      </w:pPr>
      <w:r w:rsidRPr="00A1098F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A1098F" w:rsidP="00A73E23">
      <w:pPr>
        <w:pStyle w:val="BodyText"/>
      </w:pPr>
      <w:r w:rsidRPr="00A1098F">
        <w:t xml:space="preserve">Candidates must </w:t>
      </w:r>
      <w:r w:rsidRPr="00A1098F">
        <w:t>have access to:</w:t>
      </w:r>
    </w:p>
    <w:p w:rsidR="00000000" w:rsidRPr="00A1098F" w:rsidP="00A1098F">
      <w:pPr>
        <w:pStyle w:val="ListBullet"/>
      </w:pPr>
      <w:r w:rsidRPr="00A1098F">
        <w:t xml:space="preserve">current relevant legislation, codes and standards </w:t>
      </w:r>
    </w:p>
    <w:p w:rsidR="00000000" w:rsidRPr="00A1098F" w:rsidP="00A1098F">
      <w:pPr>
        <w:pStyle w:val="ListBullet"/>
      </w:pPr>
      <w:r w:rsidRPr="00A1098F">
        <w:t>construction and subcontractor contracts</w:t>
      </w:r>
    </w:p>
    <w:p w:rsidR="00000000" w:rsidRPr="00A1098F" w:rsidP="00A1098F">
      <w:pPr>
        <w:pStyle w:val="ListBullet"/>
      </w:pPr>
      <w:r w:rsidRPr="00A1098F">
        <w:t>organisational policies and procedures, including workplace safety requirements</w:t>
      </w:r>
    </w:p>
    <w:p w:rsidR="00000000" w:rsidRPr="00A1098F" w:rsidP="00A1098F">
      <w:pPr>
        <w:pStyle w:val="ListBullet"/>
      </w:pPr>
      <w:r w:rsidRPr="00A1098F">
        <w:t xml:space="preserve">financial and tendering legislation, codes, standards and guidance </w:t>
      </w:r>
      <w:r w:rsidRPr="00A1098F">
        <w:t>information</w:t>
      </w:r>
    </w:p>
    <w:p w:rsidR="00000000" w:rsidRPr="00A1098F" w:rsidP="00A1098F">
      <w:pPr>
        <w:pStyle w:val="ListBullet"/>
      </w:pPr>
      <w:r w:rsidRPr="00A1098F">
        <w:t xml:space="preserve">business equipment, technology, applications and software systems for accessing, researching, extracting and interpreting data, calculating costs, analysing and presenting information and developing documents and reports. </w:t>
      </w:r>
    </w:p>
    <w:p w:rsidR="00000000" w:rsidRPr="00A1098F" w:rsidP="00A1098F">
      <w:pPr>
        <w:pStyle w:val="AllowPageBreak"/>
      </w:pPr>
    </w:p>
    <w:p w:rsidR="00000000" w:rsidRPr="00A1098F" w:rsidP="00A1098F">
      <w:pPr>
        <w:pStyle w:val="Heading1"/>
      </w:pPr>
      <w:bookmarkStart w:id="5" w:name="O_1294211"/>
      <w:bookmarkEnd w:id="5"/>
      <w:r w:rsidRPr="00A1098F">
        <w:t>Li</w:t>
      </w:r>
      <w:r w:rsidRPr="00A1098F">
        <w:t>nks</w:t>
      </w:r>
    </w:p>
    <w:p w:rsidR="00000000" w:rsidRPr="00A1098F" w:rsidP="00A73E23">
      <w:pPr>
        <w:pStyle w:val="BodyText"/>
      </w:pPr>
      <w:r w:rsidRPr="00A109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6F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098F" w:rsidP="00A1098F"/>
    <w:sectPr w:rsidSect="00A10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8F" w:rsidRPr="00A73E23" w:rsidP="00A73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23" w:rsidP="00A10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E23" w:rsidP="00A10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3E23" w:rsidP="00A10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98F" w:rsidRPr="00A73E23" w:rsidP="00A73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23" w:rsidRPr="002D2AF8" w:rsidP="00A10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CPCCBC6008 Develop and implement an estimating and tendering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73E23" w:rsidP="00A10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6C9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01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2C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98F"/>
  </w:style>
  <w:style w:type="character" w:customStyle="1" w:styleId="Heading1Char">
    <w:name w:val="Heading 1 Char"/>
    <w:basedOn w:val="DefaultParagraphFont"/>
    <w:link w:val="Heading1"/>
    <w:rsid w:val="00A10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9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09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98F"/>
    <w:rPr>
      <w:b/>
      <w:spacing w:val="0"/>
    </w:rPr>
  </w:style>
  <w:style w:type="paragraph" w:customStyle="1" w:styleId="SuperTitle">
    <w:name w:val="SuperTitle"/>
    <w:basedOn w:val="Title"/>
    <w:rsid w:val="00A10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98F"/>
    <w:rPr>
      <w:i/>
    </w:rPr>
  </w:style>
  <w:style w:type="paragraph" w:styleId="Caption">
    <w:name w:val="caption"/>
    <w:basedOn w:val="BodyText"/>
    <w:next w:val="Normal"/>
    <w:qFormat/>
    <w:rsid w:val="00A10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98F"/>
  </w:style>
  <w:style w:type="paragraph" w:styleId="TableofFigures">
    <w:name w:val="table of figures"/>
    <w:basedOn w:val="Normal"/>
    <w:next w:val="Normal"/>
    <w:semiHidden/>
    <w:rsid w:val="00A10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9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98F"/>
    <w:rPr>
      <w:rFonts w:ascii="Wingdings" w:hAnsi="Wingdings"/>
    </w:rPr>
  </w:style>
  <w:style w:type="paragraph" w:customStyle="1" w:styleId="TableHeading">
    <w:name w:val="Table Heading"/>
    <w:basedOn w:val="HeadingBase"/>
    <w:rsid w:val="00A10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98F"/>
    <w:rPr>
      <w:color w:val="0033CC"/>
      <w:u w:val="none"/>
    </w:rPr>
  </w:style>
  <w:style w:type="paragraph" w:customStyle="1" w:styleId="BodyTextRight">
    <w:name w:val="Body Text Right"/>
    <w:basedOn w:val="BodyText"/>
    <w:rsid w:val="00A10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9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98F"/>
    <w:rPr>
      <w:sz w:val="32"/>
    </w:rPr>
  </w:style>
  <w:style w:type="paragraph" w:customStyle="1" w:styleId="HeadingProcedure">
    <w:name w:val="Heading Procedure"/>
    <w:basedOn w:val="HeadingBase"/>
    <w:next w:val="Normal"/>
    <w:rsid w:val="00A10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98F"/>
    <w:pPr>
      <w:spacing w:before="60" w:after="60"/>
    </w:pPr>
  </w:style>
  <w:style w:type="paragraph" w:styleId="ListContinue">
    <w:name w:val="List Continue"/>
    <w:basedOn w:val="List"/>
    <w:rsid w:val="00A1098F"/>
    <w:pPr>
      <w:ind w:firstLine="0"/>
    </w:pPr>
  </w:style>
  <w:style w:type="paragraph" w:customStyle="1" w:styleId="ListNote">
    <w:name w:val="List Note"/>
    <w:basedOn w:val="List"/>
    <w:rsid w:val="00A10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98F"/>
    <w:rPr>
      <w:rFonts w:ascii="Courier New" w:hAnsi="Courier New"/>
    </w:rPr>
  </w:style>
  <w:style w:type="paragraph" w:customStyle="1" w:styleId="NoteBullet">
    <w:name w:val="Note Bullet"/>
    <w:basedOn w:val="Note"/>
    <w:rsid w:val="00A10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98F"/>
    <w:rPr>
      <w:b/>
      <w:smallCaps/>
    </w:rPr>
  </w:style>
  <w:style w:type="paragraph" w:customStyle="1" w:styleId="TableListNumber">
    <w:name w:val="Table List Number"/>
    <w:basedOn w:val="ListNumber"/>
    <w:rsid w:val="00A10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98F"/>
    <w:pPr>
      <w:numPr>
        <w:numId w:val="9"/>
      </w:numPr>
    </w:pPr>
  </w:style>
  <w:style w:type="paragraph" w:customStyle="1" w:styleId="ListAlpha2">
    <w:name w:val="List Alpha 2"/>
    <w:basedOn w:val="List2"/>
    <w:rsid w:val="00A1098F"/>
    <w:pPr>
      <w:numPr>
        <w:numId w:val="8"/>
      </w:numPr>
    </w:pPr>
  </w:style>
  <w:style w:type="paragraph" w:styleId="List2">
    <w:name w:val="List 2"/>
    <w:basedOn w:val="BodyText"/>
    <w:rsid w:val="00A10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9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98F"/>
    <w:pPr>
      <w:numPr>
        <w:numId w:val="4"/>
      </w:numPr>
    </w:pPr>
  </w:style>
  <w:style w:type="paragraph" w:styleId="ListContinue2">
    <w:name w:val="List Continue 2"/>
    <w:basedOn w:val="List2"/>
    <w:rsid w:val="00A1098F"/>
    <w:pPr>
      <w:ind w:firstLine="0"/>
    </w:pPr>
  </w:style>
  <w:style w:type="paragraph" w:styleId="ListContinue3">
    <w:name w:val="List Continue 3"/>
    <w:basedOn w:val="List3"/>
    <w:rsid w:val="00A1098F"/>
    <w:pPr>
      <w:ind w:left="1021" w:firstLine="0"/>
    </w:pPr>
  </w:style>
  <w:style w:type="paragraph" w:styleId="ListContinue4">
    <w:name w:val="List Continue 4"/>
    <w:basedOn w:val="List4"/>
    <w:rsid w:val="00A1098F"/>
    <w:pPr>
      <w:ind w:firstLine="0"/>
    </w:pPr>
  </w:style>
  <w:style w:type="paragraph" w:styleId="ListContinue5">
    <w:name w:val="List Continue 5"/>
    <w:basedOn w:val="List5"/>
    <w:rsid w:val="00A1098F"/>
    <w:pPr>
      <w:ind w:firstLine="0"/>
    </w:pPr>
  </w:style>
  <w:style w:type="paragraph" w:styleId="ListNumber3">
    <w:name w:val="List Number 3"/>
    <w:basedOn w:val="List3"/>
    <w:rsid w:val="00A1098F"/>
    <w:pPr>
      <w:numPr>
        <w:numId w:val="5"/>
      </w:numPr>
    </w:pPr>
  </w:style>
  <w:style w:type="paragraph" w:styleId="ListNumber4">
    <w:name w:val="List Number 4"/>
    <w:basedOn w:val="List4"/>
    <w:rsid w:val="00A1098F"/>
    <w:pPr>
      <w:numPr>
        <w:numId w:val="6"/>
      </w:numPr>
    </w:pPr>
  </w:style>
  <w:style w:type="paragraph" w:styleId="ListNumber5">
    <w:name w:val="List Number 5"/>
    <w:basedOn w:val="List5"/>
    <w:rsid w:val="00A1098F"/>
    <w:pPr>
      <w:numPr>
        <w:numId w:val="7"/>
      </w:numPr>
    </w:pPr>
  </w:style>
  <w:style w:type="paragraph" w:styleId="BlockText">
    <w:name w:val="Block Text"/>
    <w:basedOn w:val="Normal"/>
    <w:rsid w:val="00A10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98F"/>
    <w:rPr>
      <w:sz w:val="16"/>
      <w:vertAlign w:val="superscript"/>
    </w:rPr>
  </w:style>
  <w:style w:type="character" w:customStyle="1" w:styleId="Symbols">
    <w:name w:val="Symbols"/>
    <w:basedOn w:val="DefaultParagraphFont"/>
    <w:rsid w:val="00A1098F"/>
    <w:rPr>
      <w:rFonts w:ascii="Symbol" w:hAnsi="Symbol"/>
    </w:rPr>
  </w:style>
  <w:style w:type="character" w:customStyle="1" w:styleId="MenuOptions">
    <w:name w:val="Menu Options"/>
    <w:basedOn w:val="DefaultParagraphFont"/>
    <w:rsid w:val="00A10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98F"/>
    <w:rPr>
      <w:b/>
    </w:rPr>
  </w:style>
  <w:style w:type="character" w:customStyle="1" w:styleId="Underlined">
    <w:name w:val="Underlined"/>
    <w:basedOn w:val="DefaultParagraphFont"/>
    <w:rsid w:val="00A1098F"/>
    <w:rPr>
      <w:u w:val="single"/>
    </w:rPr>
  </w:style>
  <w:style w:type="paragraph" w:customStyle="1" w:styleId="TableBodyTextRight">
    <w:name w:val="Table Body Text Right"/>
    <w:basedOn w:val="TableBodyText"/>
    <w:rsid w:val="00A10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98F"/>
    <w:rPr>
      <w:sz w:val="18"/>
    </w:rPr>
  </w:style>
  <w:style w:type="paragraph" w:customStyle="1" w:styleId="BodySmallRight">
    <w:name w:val="Body Small Right"/>
    <w:basedOn w:val="BodyTextRight"/>
    <w:rsid w:val="00A1098F"/>
    <w:rPr>
      <w:sz w:val="18"/>
      <w:szCs w:val="18"/>
    </w:rPr>
  </w:style>
  <w:style w:type="paragraph" w:customStyle="1" w:styleId="MarginEdition">
    <w:name w:val="Margin Edition"/>
    <w:basedOn w:val="MarginNote"/>
    <w:rsid w:val="00A10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98F"/>
    <w:rPr>
      <w:sz w:val="2"/>
      <w:szCs w:val="2"/>
    </w:rPr>
  </w:style>
  <w:style w:type="character" w:customStyle="1" w:styleId="Small">
    <w:name w:val="Small"/>
    <w:basedOn w:val="DefaultParagraphFont"/>
    <w:rsid w:val="00A1098F"/>
    <w:rPr>
      <w:sz w:val="16"/>
    </w:rPr>
  </w:style>
  <w:style w:type="paragraph" w:customStyle="1" w:styleId="WideTable">
    <w:name w:val="Wide Table"/>
    <w:basedOn w:val="Normal"/>
    <w:rsid w:val="00A10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98F"/>
  </w:style>
  <w:style w:type="paragraph" w:styleId="Quote">
    <w:name w:val="Quote"/>
    <w:basedOn w:val="Heading1"/>
    <w:link w:val="QuoteChar"/>
    <w:qFormat/>
    <w:rsid w:val="00A10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98F"/>
    <w:pPr>
      <w:pageBreakBefore/>
    </w:pPr>
  </w:style>
  <w:style w:type="paragraph" w:customStyle="1" w:styleId="Border">
    <w:name w:val="Border"/>
    <w:basedOn w:val="Normal"/>
    <w:qFormat/>
    <w:rsid w:val="00A10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98F"/>
    <w:rPr>
      <w:u w:val="single"/>
    </w:rPr>
  </w:style>
  <w:style w:type="character" w:customStyle="1" w:styleId="BoldandItalics">
    <w:name w:val="Bold and Italics"/>
    <w:qFormat/>
    <w:rsid w:val="00A1098F"/>
    <w:rPr>
      <w:b/>
      <w:i/>
      <w:u w:val="none"/>
    </w:rPr>
  </w:style>
  <w:style w:type="paragraph" w:styleId="BalloonText">
    <w:name w:val="Balloon Text"/>
    <w:basedOn w:val="Normal"/>
    <w:link w:val="BalloonTextChar"/>
    <w:rsid w:val="00A10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98F"/>
    <w:pPr>
      <w:spacing w:before="0" w:after="0"/>
    </w:pPr>
  </w:style>
  <w:style w:type="paragraph" w:customStyle="1" w:styleId="BodyTextBold">
    <w:name w:val="Body Text Bold"/>
    <w:basedOn w:val="BodyText"/>
    <w:qFormat/>
    <w:rsid w:val="00A1098F"/>
    <w:rPr>
      <w:b/>
    </w:rPr>
  </w:style>
  <w:style w:type="character" w:styleId="Hyperlink">
    <w:name w:val="Hyperlink"/>
    <w:basedOn w:val="DefaultParagraphFont"/>
    <w:uiPriority w:val="99"/>
    <w:unhideWhenUsed/>
    <w:rsid w:val="00A73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3326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CPCCBC6008 Develop and implement an estimating and tendering system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