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B60" w:rsidP="00E72B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CPCCBC6005 Manage tender developments for major projects</w:t>
      </w:r>
      <w:r>
        <w:fldChar w:fldCharType="end"/>
      </w:r>
    </w:p>
    <w:p w:rsidR="00E72B60" w:rsidP="00E72B60">
      <w:pPr>
        <w:pStyle w:val="Version"/>
        <w:sectPr w:rsidSect="00DF57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F57F6" w:rsidP="00DF57F6">
      <w:pPr>
        <w:pStyle w:val="SuperHeading"/>
      </w:pPr>
      <w:r w:rsidRPr="00DF57F6">
        <w:t>Assessment Requirements for CPCCBC6005 Manage tender developments for major projects</w:t>
      </w:r>
    </w:p>
    <w:p w:rsidR="00000000" w:rsidRPr="00DF57F6" w:rsidP="00DF57F6">
      <w:pPr>
        <w:pStyle w:val="Heading1"/>
      </w:pPr>
      <w:bookmarkStart w:id="1" w:name="O_1294057"/>
      <w:bookmarkEnd w:id="1"/>
      <w:r w:rsidRPr="00DF57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F57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F6">
            <w:pPr>
              <w:pStyle w:val="BodyText"/>
              <w:rPr>
                <w:lang w:val="en-NZ"/>
              </w:rPr>
            </w:pPr>
            <w:r w:rsidRPr="00DF57F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F6">
            <w:pPr>
              <w:pStyle w:val="BodyText"/>
              <w:rPr>
                <w:lang w:val="en-NZ"/>
              </w:rPr>
            </w:pPr>
            <w:r w:rsidRPr="00DF57F6">
              <w:t>Updated reference to general construction induction training program.</w:t>
            </w:r>
          </w:p>
        </w:tc>
      </w:tr>
      <w:tr w:rsidTr="00DF57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7F6">
            <w:pPr>
              <w:pStyle w:val="BodyText"/>
              <w:rPr>
                <w:lang w:val="en-NZ"/>
              </w:rPr>
            </w:pPr>
            <w:r w:rsidRPr="00DF57F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7F6" w:rsidP="00DF57F6">
            <w:pPr>
              <w:pStyle w:val="BodyText"/>
            </w:pPr>
            <w:r w:rsidRPr="00DF57F6">
              <w:t>This version first released with CPC Construction, Plumbing and Services Training Package Release 5.0.</w:t>
            </w:r>
          </w:p>
          <w:p w:rsidR="00000000" w:rsidRPr="00DF57F6" w:rsidP="00DF57F6">
            <w:pPr>
              <w:pStyle w:val="BodyText"/>
            </w:pPr>
            <w:r w:rsidRPr="00DF57F6">
              <w:t>Supersedes and is equivalent to CPCCBC6005A Manage tender developments for major projects.  Updated to meet the Standards for Training Packages 2012.</w:t>
            </w:r>
          </w:p>
        </w:tc>
      </w:tr>
    </w:tbl>
    <w:p w:rsidR="00000000" w:rsidRPr="00DF57F6" w:rsidP="00DF57F6">
      <w:pPr>
        <w:pStyle w:val="BodyText"/>
      </w:pPr>
    </w:p>
    <w:p w:rsidR="00000000" w:rsidRPr="00DF57F6" w:rsidP="00DF57F6">
      <w:pPr>
        <w:pStyle w:val="AllowPageBreak"/>
      </w:pPr>
    </w:p>
    <w:p w:rsidR="00000000" w:rsidRPr="00DF57F6" w:rsidP="00DF57F6">
      <w:pPr>
        <w:pStyle w:val="Heading1"/>
      </w:pPr>
      <w:bookmarkStart w:id="2" w:name="O_1294056"/>
      <w:bookmarkEnd w:id="2"/>
      <w:r w:rsidRPr="00DF57F6">
        <w:t>Performance Evidence</w:t>
      </w:r>
    </w:p>
    <w:p w:rsidR="00000000" w:rsidRPr="00DF57F6" w:rsidP="00E72B60">
      <w:pPr>
        <w:pStyle w:val="BodyText"/>
      </w:pPr>
      <w:r w:rsidRPr="00DF57F6">
        <w:t xml:space="preserve">To demonstrate competency, a candidate must meet the elements and performance criteria of this unit by managing the development of tenders for one building and construction project. </w:t>
      </w:r>
    </w:p>
    <w:p w:rsidR="00000000" w:rsidRPr="00DF57F6" w:rsidP="00E72B60">
      <w:pPr>
        <w:pStyle w:val="BodyText"/>
      </w:pPr>
      <w:r w:rsidRPr="00DF57F6">
        <w:t>In doing this, the candidate must:</w:t>
      </w:r>
    </w:p>
    <w:p w:rsidR="00000000" w:rsidRPr="00DF57F6" w:rsidP="00DF57F6">
      <w:pPr>
        <w:pStyle w:val="ListBullet"/>
      </w:pPr>
      <w:r w:rsidRPr="00DF57F6">
        <w:t>develop a tender that comprehensively addresses project requirements</w:t>
      </w:r>
    </w:p>
    <w:p w:rsidR="00000000" w:rsidRPr="00DF57F6" w:rsidP="00DF57F6">
      <w:pPr>
        <w:pStyle w:val="ListBullet"/>
      </w:pPr>
      <w:r w:rsidRPr="00DF57F6">
        <w:t>implement management practices that result in a high level of strategic input and accuracy</w:t>
      </w:r>
    </w:p>
    <w:p w:rsidR="00000000" w:rsidRPr="00DF57F6" w:rsidP="00DF57F6">
      <w:pPr>
        <w:pStyle w:val="ListBullet"/>
      </w:pPr>
      <w:r w:rsidRPr="00DF57F6">
        <w:t>manage data acquisition from within and external to the organisation</w:t>
      </w:r>
    </w:p>
    <w:p w:rsidR="00000000" w:rsidRPr="00DF57F6" w:rsidP="00DF57F6">
      <w:pPr>
        <w:pStyle w:val="ListBullet"/>
      </w:pPr>
      <w:r w:rsidRPr="00DF57F6">
        <w:t xml:space="preserve">demonstrate conceptual and strategic problem solving </w:t>
      </w:r>
    </w:p>
    <w:p w:rsidR="00000000" w:rsidRPr="00DF57F6" w:rsidP="00DF57F6">
      <w:pPr>
        <w:pStyle w:val="ListBullet"/>
      </w:pPr>
      <w:r w:rsidRPr="00DF57F6">
        <w:t>comply with relevant legislative and regulatory requirements, standards and codes of practice.</w:t>
      </w:r>
    </w:p>
    <w:p w:rsidR="00000000" w:rsidRPr="00DF57F6" w:rsidP="00DF57F6">
      <w:pPr>
        <w:pStyle w:val="AllowPageBreak"/>
      </w:pPr>
    </w:p>
    <w:p w:rsidR="00000000" w:rsidRPr="00DF57F6" w:rsidP="00DF57F6">
      <w:pPr>
        <w:pStyle w:val="Heading1"/>
      </w:pPr>
      <w:bookmarkStart w:id="3" w:name="O_1294055"/>
      <w:bookmarkEnd w:id="3"/>
      <w:r w:rsidRPr="00DF57F6">
        <w:t>Knowledge Evidence</w:t>
      </w:r>
    </w:p>
    <w:p w:rsidR="00000000" w:rsidRPr="00DF57F6" w:rsidP="00E72B60">
      <w:pPr>
        <w:pStyle w:val="BodyText"/>
      </w:pPr>
      <w:r w:rsidRPr="00DF57F6">
        <w:t xml:space="preserve">To be competent in this unit, a candidate must demonstrate knowledge </w:t>
      </w:r>
      <w:r w:rsidRPr="00DF57F6">
        <w:t>of:</w:t>
      </w:r>
    </w:p>
    <w:p w:rsidR="00000000" w:rsidRPr="00DF57F6" w:rsidP="00DF57F6">
      <w:pPr>
        <w:pStyle w:val="ListBullet"/>
      </w:pPr>
      <w:r w:rsidRPr="00DF57F6">
        <w:t>appropriate sector of the building and construction industry and conditions of the contracts upon which its activities are based:</w:t>
      </w:r>
    </w:p>
    <w:p w:rsidR="00000000" w:rsidRPr="00DF57F6" w:rsidP="00DF57F6">
      <w:pPr>
        <w:pStyle w:val="ListBullet2"/>
      </w:pPr>
      <w:r w:rsidRPr="00DF57F6">
        <w:t>contract clauses and intentions</w:t>
      </w:r>
    </w:p>
    <w:p w:rsidR="00000000" w:rsidRPr="00DF57F6" w:rsidP="00DF57F6">
      <w:pPr>
        <w:pStyle w:val="ListBullet2"/>
      </w:pPr>
      <w:r w:rsidRPr="00DF57F6">
        <w:t>dispute resolution</w:t>
      </w:r>
    </w:p>
    <w:p w:rsidR="00000000" w:rsidRPr="00DF57F6" w:rsidP="00DF57F6">
      <w:pPr>
        <w:pStyle w:val="ListBullet2"/>
      </w:pPr>
      <w:r w:rsidRPr="00DF57F6">
        <w:t>general conditions of contract</w:t>
      </w:r>
    </w:p>
    <w:p w:rsidR="00000000" w:rsidRPr="00DF57F6" w:rsidP="00DF57F6">
      <w:pPr>
        <w:pStyle w:val="ListBullet2"/>
      </w:pPr>
      <w:r w:rsidRPr="00DF57F6">
        <w:t>legislative and regulatory requirement</w:t>
      </w:r>
      <w:r w:rsidRPr="00DF57F6">
        <w:t>s</w:t>
      </w:r>
    </w:p>
    <w:p w:rsidR="00000000" w:rsidRPr="00DF57F6" w:rsidP="00DF57F6">
      <w:pPr>
        <w:pStyle w:val="ListBullet2"/>
      </w:pPr>
      <w:r w:rsidRPr="00DF57F6">
        <w:t>liabilities</w:t>
      </w:r>
    </w:p>
    <w:p w:rsidR="00000000" w:rsidRPr="00DF57F6" w:rsidP="00DF57F6">
      <w:pPr>
        <w:pStyle w:val="ListBullet2"/>
      </w:pPr>
      <w:r w:rsidRPr="00DF57F6">
        <w:t>parties</w:t>
      </w:r>
      <w:r>
        <w:t>’</w:t>
      </w:r>
      <w:r w:rsidRPr="00DF57F6">
        <w:t xml:space="preserve"> obligations under contracts</w:t>
      </w:r>
    </w:p>
    <w:p w:rsidR="00000000" w:rsidRPr="00DF57F6" w:rsidP="00DF57F6">
      <w:pPr>
        <w:pStyle w:val="ListBullet"/>
      </w:pPr>
      <w:r w:rsidRPr="00DF57F6">
        <w:t>factors to be considered in assessing the risk inherent in different types of building and construction projects</w:t>
      </w:r>
    </w:p>
    <w:p w:rsidR="00000000" w:rsidRPr="00DF57F6" w:rsidP="00DF57F6">
      <w:pPr>
        <w:pStyle w:val="ListBullet"/>
      </w:pPr>
      <w:r w:rsidRPr="00DF57F6">
        <w:t>conducting risk analysis:</w:t>
      </w:r>
    </w:p>
    <w:p w:rsidR="00000000" w:rsidRPr="00DF57F6" w:rsidP="00DF57F6">
      <w:pPr>
        <w:pStyle w:val="ListBullet2"/>
      </w:pPr>
      <w:r w:rsidRPr="00DF57F6">
        <w:t>analysis and revision of data</w:t>
      </w:r>
    </w:p>
    <w:p w:rsidR="00000000" w:rsidRPr="00DF57F6" w:rsidP="00DF57F6">
      <w:pPr>
        <w:pStyle w:val="ListBullet2"/>
      </w:pPr>
      <w:r w:rsidRPr="00DF57F6">
        <w:t>critical incident analysis and reporting</w:t>
      </w:r>
    </w:p>
    <w:p w:rsidR="00000000" w:rsidRPr="00DF57F6" w:rsidP="00DF57F6">
      <w:pPr>
        <w:pStyle w:val="ListBullet2"/>
      </w:pPr>
      <w:r w:rsidRPr="00DF57F6">
        <w:t>proposing solutions and recovery scenarios</w:t>
      </w:r>
    </w:p>
    <w:p w:rsidR="00000000" w:rsidRPr="00DF57F6" w:rsidP="00DF57F6">
      <w:pPr>
        <w:pStyle w:val="ListBullet2"/>
      </w:pPr>
      <w:r w:rsidRPr="00DF57F6">
        <w:t>risk management practices</w:t>
      </w:r>
    </w:p>
    <w:p w:rsidR="00000000" w:rsidRPr="00DF57F6" w:rsidP="00DF57F6">
      <w:pPr>
        <w:pStyle w:val="ListBullet2"/>
      </w:pPr>
      <w:r w:rsidRPr="00DF57F6">
        <w:t>scheduling and planning for contingencies</w:t>
      </w:r>
    </w:p>
    <w:p w:rsidR="00000000" w:rsidRPr="00DF57F6" w:rsidP="00DF57F6">
      <w:pPr>
        <w:pStyle w:val="ListBullet"/>
      </w:pPr>
      <w:r w:rsidRPr="00DF57F6">
        <w:t>financial and business administration principles commensurate with organisation</w:t>
      </w:r>
      <w:r>
        <w:t>’</w:t>
      </w:r>
      <w:r w:rsidRPr="00DF57F6">
        <w:t>s needs</w:t>
      </w:r>
    </w:p>
    <w:p w:rsidR="00000000" w:rsidRPr="00DF57F6" w:rsidP="00DF57F6">
      <w:pPr>
        <w:pStyle w:val="ListBullet"/>
      </w:pPr>
      <w:r w:rsidRPr="00DF57F6">
        <w:t xml:space="preserve">human resource </w:t>
      </w:r>
      <w:r w:rsidRPr="00DF57F6">
        <w:t>processes:</w:t>
      </w:r>
    </w:p>
    <w:p w:rsidR="00000000" w:rsidRPr="00DF57F6" w:rsidP="00DF57F6">
      <w:pPr>
        <w:pStyle w:val="ListBullet2"/>
      </w:pPr>
      <w:r w:rsidRPr="00DF57F6">
        <w:t>accuracy and legitimacy of the tender process</w:t>
      </w:r>
    </w:p>
    <w:p w:rsidR="00000000" w:rsidRPr="00DF57F6" w:rsidP="00DF57F6">
      <w:pPr>
        <w:pStyle w:val="ListBullet2"/>
      </w:pPr>
      <w:r w:rsidRPr="00DF57F6">
        <w:t>management of material costs and availability</w:t>
      </w:r>
    </w:p>
    <w:p w:rsidR="00000000" w:rsidRPr="00DF57F6" w:rsidP="00DF57F6">
      <w:pPr>
        <w:pStyle w:val="ListBullet2"/>
      </w:pPr>
      <w:r w:rsidRPr="00DF57F6">
        <w:t>management of work practices, discipline and performance appraisal</w:t>
      </w:r>
    </w:p>
    <w:p w:rsidR="00000000" w:rsidRPr="00DF57F6" w:rsidP="00DF57F6">
      <w:pPr>
        <w:pStyle w:val="ListBullet2"/>
      </w:pPr>
      <w:r w:rsidRPr="00DF57F6">
        <w:t>staff selection and training in tender functions</w:t>
      </w:r>
    </w:p>
    <w:p w:rsidR="00000000" w:rsidRPr="00DF57F6" w:rsidP="00DF57F6">
      <w:pPr>
        <w:pStyle w:val="ListBullet"/>
      </w:pPr>
      <w:r w:rsidRPr="00DF57F6">
        <w:t>industry</w:t>
      </w:r>
      <w:r>
        <w:t>’</w:t>
      </w:r>
      <w:r w:rsidRPr="00DF57F6">
        <w:t>s industrial relations climate and practices:</w:t>
      </w:r>
    </w:p>
    <w:p w:rsidR="00000000" w:rsidRPr="00DF57F6" w:rsidP="00DF57F6">
      <w:pPr>
        <w:pStyle w:val="ListBullet2"/>
      </w:pPr>
      <w:r w:rsidRPr="00DF57F6">
        <w:t>costing methods and calculating standard time for activities</w:t>
      </w:r>
    </w:p>
    <w:p w:rsidR="00000000" w:rsidRPr="00DF57F6" w:rsidP="00DF57F6">
      <w:pPr>
        <w:pStyle w:val="ListBullet2"/>
      </w:pPr>
      <w:r w:rsidRPr="00DF57F6">
        <w:t>subcontractor contractual arrangements</w:t>
      </w:r>
    </w:p>
    <w:p w:rsidR="00000000" w:rsidRPr="00DF57F6" w:rsidP="00DF57F6">
      <w:pPr>
        <w:pStyle w:val="ListBullet2"/>
      </w:pPr>
      <w:r w:rsidRPr="00DF57F6">
        <w:t>independent workplace agreements</w:t>
      </w:r>
    </w:p>
    <w:p w:rsidR="00000000" w:rsidRPr="00DF57F6" w:rsidP="00DF57F6">
      <w:pPr>
        <w:pStyle w:val="ListBullet2"/>
      </w:pPr>
      <w:r w:rsidRPr="00DF57F6">
        <w:t>employment conditions</w:t>
      </w:r>
    </w:p>
    <w:p w:rsidR="00000000" w:rsidRPr="00DF57F6" w:rsidP="00DF57F6">
      <w:pPr>
        <w:pStyle w:val="ListBullet2"/>
      </w:pPr>
      <w:r w:rsidRPr="00DF57F6">
        <w:t>enterprise agreements</w:t>
      </w:r>
    </w:p>
    <w:p w:rsidR="00000000" w:rsidRPr="00DF57F6" w:rsidP="00DF57F6">
      <w:pPr>
        <w:pStyle w:val="ListBullet"/>
      </w:pPr>
      <w:r w:rsidRPr="00DF57F6">
        <w:t>relevant state or territory bui</w:t>
      </w:r>
      <w:r w:rsidRPr="00DF57F6">
        <w:t>lding and construction codes, standards and regulations</w:t>
      </w:r>
    </w:p>
    <w:p w:rsidR="00000000" w:rsidRPr="00DF57F6" w:rsidP="00DF57F6">
      <w:pPr>
        <w:pStyle w:val="ListBullet"/>
      </w:pPr>
      <w:r w:rsidRPr="00DF57F6">
        <w:t>socioeconomic and political factors which determine the climate in that sector of the building and construction industry.</w:t>
      </w:r>
    </w:p>
    <w:p w:rsidR="00000000" w:rsidRPr="00DF57F6" w:rsidP="00DF57F6">
      <w:pPr>
        <w:pStyle w:val="AllowPageBreak"/>
      </w:pPr>
    </w:p>
    <w:p w:rsidR="00000000" w:rsidRPr="00DF57F6" w:rsidP="00DF57F6">
      <w:pPr>
        <w:pStyle w:val="Heading1"/>
      </w:pPr>
      <w:bookmarkStart w:id="4" w:name="O_1294054"/>
      <w:bookmarkEnd w:id="4"/>
      <w:r w:rsidRPr="00DF57F6">
        <w:t>Assessment Conditions</w:t>
      </w:r>
    </w:p>
    <w:p w:rsidR="00000000" w:rsidRPr="00DF57F6" w:rsidP="00E72B60">
      <w:pPr>
        <w:pStyle w:val="BodyText"/>
      </w:pPr>
      <w:r w:rsidRPr="00DF57F6">
        <w:t xml:space="preserve">Assessors must meet the requirements </w:t>
      </w:r>
      <w:r w:rsidRPr="00DF57F6">
        <w:t xml:space="preserve">for assessors contained in the Standards for Registered Training Organisations. </w:t>
      </w:r>
    </w:p>
    <w:p w:rsidR="00000000" w:rsidRPr="00DF57F6" w:rsidP="00E72B60">
      <w:pPr>
        <w:pStyle w:val="BodyText"/>
      </w:pPr>
      <w:r w:rsidRPr="00DF57F6">
        <w:t xml:space="preserve">Assessment can be undertaken in the workplace or in a simulated workplace environment. </w:t>
      </w:r>
    </w:p>
    <w:p w:rsidR="00000000" w:rsidRPr="00DF57F6" w:rsidP="00E72B60">
      <w:pPr>
        <w:pStyle w:val="BodyText"/>
      </w:pPr>
      <w:r w:rsidRPr="00DF57F6">
        <w:t xml:space="preserve">A simulated environment is one that realistically replicates workplace conditions, materials and equipment, interactions with others and workplace irregularities, and which meets industry standards for safety and environmental practices.  </w:t>
      </w:r>
    </w:p>
    <w:p w:rsidR="00000000" w:rsidRPr="00DF57F6" w:rsidP="00E72B60">
      <w:pPr>
        <w:pStyle w:val="BodyText"/>
      </w:pPr>
      <w:r w:rsidRPr="00DF57F6">
        <w:t xml:space="preserve">Candidates must </w:t>
      </w:r>
      <w:r w:rsidRPr="00DF57F6">
        <w:t>be provided with:</w:t>
      </w:r>
    </w:p>
    <w:p w:rsidR="00000000" w:rsidRPr="00DF57F6" w:rsidP="00DF57F6">
      <w:pPr>
        <w:pStyle w:val="ListBullet"/>
      </w:pPr>
      <w:r w:rsidRPr="00DF57F6">
        <w:t>current and relevant government building, industrial relations, privacy, consumer protection legislation, regulations, codes and standards</w:t>
      </w:r>
    </w:p>
    <w:p w:rsidR="00000000" w:rsidRPr="00DF57F6" w:rsidP="00DF57F6">
      <w:pPr>
        <w:pStyle w:val="ListBullet"/>
      </w:pPr>
      <w:r w:rsidRPr="00DF57F6">
        <w:t>technology, applications and software systems for accessing, researching, extracting, analysing an</w:t>
      </w:r>
      <w:r w:rsidRPr="00DF57F6">
        <w:t xml:space="preserve">d presenting information, interpreting data and developing tender and associated documentation </w:t>
      </w:r>
    </w:p>
    <w:p w:rsidR="00000000" w:rsidRPr="00DF57F6" w:rsidP="00DF57F6">
      <w:pPr>
        <w:pStyle w:val="ListBullet"/>
      </w:pPr>
      <w:r w:rsidRPr="00DF57F6">
        <w:t>copies of appropriate awards and workplace agreements</w:t>
      </w:r>
    </w:p>
    <w:p w:rsidR="00000000" w:rsidRPr="00DF57F6" w:rsidP="00DF57F6">
      <w:pPr>
        <w:pStyle w:val="ListBullet"/>
      </w:pPr>
      <w:r w:rsidRPr="00DF57F6">
        <w:t xml:space="preserve">organisational policies, procedures and other quality documentation to undertake the performance criteria </w:t>
      </w:r>
      <w:r w:rsidRPr="00DF57F6">
        <w:t>and assessment requirements.</w:t>
      </w:r>
    </w:p>
    <w:p w:rsidR="00000000" w:rsidRPr="00DF57F6" w:rsidP="00DF57F6">
      <w:pPr>
        <w:pStyle w:val="AllowPageBreak"/>
      </w:pPr>
    </w:p>
    <w:p w:rsidR="00000000" w:rsidRPr="00DF57F6" w:rsidP="00DF57F6">
      <w:pPr>
        <w:pStyle w:val="Heading1"/>
      </w:pPr>
      <w:bookmarkStart w:id="5" w:name="O_1294067"/>
      <w:bookmarkEnd w:id="5"/>
      <w:r w:rsidRPr="00DF57F6">
        <w:t>Links</w:t>
      </w:r>
    </w:p>
    <w:p w:rsidR="00000000" w:rsidRPr="00DF57F6" w:rsidP="00E72B60">
      <w:pPr>
        <w:pStyle w:val="BodyText"/>
      </w:pPr>
      <w:r w:rsidRPr="00DF57F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210D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F57F6" w:rsidP="00DF57F6"/>
    <w:sectPr w:rsidSect="00DF57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7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7F6" w:rsidRPr="00E72B60" w:rsidP="00E72B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7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60" w:rsidP="00DF57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2B60" w:rsidP="00DF57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72B60" w:rsidP="00DF57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7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57F6" w:rsidRPr="00E72B60" w:rsidP="00E72B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7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60" w:rsidRPr="002D2AF8" w:rsidP="00DF57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CPCCBC6005 Manage tender developments for major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72B60" w:rsidP="00DF57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2E1E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C4E2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7EAD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7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57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57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57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57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57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57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57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57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57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57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57F6"/>
  </w:style>
  <w:style w:type="character" w:customStyle="1" w:styleId="Heading1Char">
    <w:name w:val="Heading 1 Char"/>
    <w:basedOn w:val="DefaultParagraphFont"/>
    <w:link w:val="Heading1"/>
    <w:rsid w:val="00DF57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57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57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57F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F57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57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57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57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57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57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57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57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57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57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57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57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57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57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57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57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57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57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57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57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57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57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57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57F6"/>
    <w:rPr>
      <w:b/>
      <w:spacing w:val="0"/>
    </w:rPr>
  </w:style>
  <w:style w:type="paragraph" w:customStyle="1" w:styleId="SuperTitle">
    <w:name w:val="SuperTitle"/>
    <w:basedOn w:val="Title"/>
    <w:rsid w:val="00DF57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57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57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57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57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57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57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57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57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57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57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57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57F6"/>
    <w:rPr>
      <w:i/>
    </w:rPr>
  </w:style>
  <w:style w:type="paragraph" w:styleId="Caption">
    <w:name w:val="caption"/>
    <w:basedOn w:val="BodyText"/>
    <w:next w:val="Normal"/>
    <w:qFormat/>
    <w:rsid w:val="00DF57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57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57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57F6"/>
  </w:style>
  <w:style w:type="paragraph" w:styleId="TableofFigures">
    <w:name w:val="table of figures"/>
    <w:basedOn w:val="Normal"/>
    <w:next w:val="Normal"/>
    <w:semiHidden/>
    <w:rsid w:val="00DF57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57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57F6"/>
    <w:rPr>
      <w:rFonts w:ascii="Wingdings" w:hAnsi="Wingdings"/>
    </w:rPr>
  </w:style>
  <w:style w:type="paragraph" w:customStyle="1" w:styleId="TableHeading">
    <w:name w:val="Table Heading"/>
    <w:basedOn w:val="HeadingBase"/>
    <w:rsid w:val="00DF57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57F6"/>
    <w:rPr>
      <w:color w:val="0033CC"/>
      <w:u w:val="none"/>
    </w:rPr>
  </w:style>
  <w:style w:type="paragraph" w:customStyle="1" w:styleId="BodyTextRight">
    <w:name w:val="Body Text Right"/>
    <w:basedOn w:val="BodyText"/>
    <w:rsid w:val="00DF57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57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57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57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57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57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57F6"/>
    <w:rPr>
      <w:sz w:val="32"/>
    </w:rPr>
  </w:style>
  <w:style w:type="paragraph" w:customStyle="1" w:styleId="HeadingProcedure">
    <w:name w:val="Heading Procedure"/>
    <w:basedOn w:val="HeadingBase"/>
    <w:next w:val="Normal"/>
    <w:rsid w:val="00DF57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57F6"/>
    <w:pPr>
      <w:spacing w:before="60" w:after="60"/>
    </w:pPr>
  </w:style>
  <w:style w:type="paragraph" w:styleId="ListContinue">
    <w:name w:val="List Continue"/>
    <w:basedOn w:val="List"/>
    <w:rsid w:val="00DF57F6"/>
    <w:pPr>
      <w:ind w:firstLine="0"/>
    </w:pPr>
  </w:style>
  <w:style w:type="paragraph" w:customStyle="1" w:styleId="ListNote">
    <w:name w:val="List Note"/>
    <w:basedOn w:val="List"/>
    <w:rsid w:val="00DF57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57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57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57F6"/>
    <w:rPr>
      <w:rFonts w:ascii="Courier New" w:hAnsi="Courier New"/>
    </w:rPr>
  </w:style>
  <w:style w:type="paragraph" w:customStyle="1" w:styleId="NoteBullet">
    <w:name w:val="Note Bullet"/>
    <w:basedOn w:val="Note"/>
    <w:rsid w:val="00DF57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57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57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57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57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57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57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57F6"/>
    <w:rPr>
      <w:b/>
      <w:smallCaps/>
    </w:rPr>
  </w:style>
  <w:style w:type="paragraph" w:customStyle="1" w:styleId="TableListNumber">
    <w:name w:val="Table List Number"/>
    <w:basedOn w:val="ListNumber"/>
    <w:rsid w:val="00DF57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57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57F6"/>
    <w:pPr>
      <w:numPr>
        <w:numId w:val="9"/>
      </w:numPr>
    </w:pPr>
  </w:style>
  <w:style w:type="paragraph" w:customStyle="1" w:styleId="ListAlpha2">
    <w:name w:val="List Alpha 2"/>
    <w:basedOn w:val="List2"/>
    <w:rsid w:val="00DF57F6"/>
    <w:pPr>
      <w:numPr>
        <w:numId w:val="8"/>
      </w:numPr>
    </w:pPr>
  </w:style>
  <w:style w:type="paragraph" w:styleId="List2">
    <w:name w:val="List 2"/>
    <w:basedOn w:val="BodyText"/>
    <w:rsid w:val="00DF57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57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57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57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57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57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57F6"/>
    <w:pPr>
      <w:numPr>
        <w:numId w:val="4"/>
      </w:numPr>
    </w:pPr>
  </w:style>
  <w:style w:type="paragraph" w:styleId="ListContinue2">
    <w:name w:val="List Continue 2"/>
    <w:basedOn w:val="List2"/>
    <w:rsid w:val="00DF57F6"/>
    <w:pPr>
      <w:ind w:firstLine="0"/>
    </w:pPr>
  </w:style>
  <w:style w:type="paragraph" w:styleId="ListContinue3">
    <w:name w:val="List Continue 3"/>
    <w:basedOn w:val="List3"/>
    <w:rsid w:val="00DF57F6"/>
    <w:pPr>
      <w:ind w:left="1021" w:firstLine="0"/>
    </w:pPr>
  </w:style>
  <w:style w:type="paragraph" w:styleId="ListContinue4">
    <w:name w:val="List Continue 4"/>
    <w:basedOn w:val="List4"/>
    <w:rsid w:val="00DF57F6"/>
    <w:pPr>
      <w:ind w:firstLine="0"/>
    </w:pPr>
  </w:style>
  <w:style w:type="paragraph" w:styleId="ListContinue5">
    <w:name w:val="List Continue 5"/>
    <w:basedOn w:val="List5"/>
    <w:rsid w:val="00DF57F6"/>
    <w:pPr>
      <w:ind w:firstLine="0"/>
    </w:pPr>
  </w:style>
  <w:style w:type="paragraph" w:styleId="ListNumber3">
    <w:name w:val="List Number 3"/>
    <w:basedOn w:val="List3"/>
    <w:rsid w:val="00DF57F6"/>
    <w:pPr>
      <w:numPr>
        <w:numId w:val="5"/>
      </w:numPr>
    </w:pPr>
  </w:style>
  <w:style w:type="paragraph" w:styleId="ListNumber4">
    <w:name w:val="List Number 4"/>
    <w:basedOn w:val="List4"/>
    <w:rsid w:val="00DF57F6"/>
    <w:pPr>
      <w:numPr>
        <w:numId w:val="6"/>
      </w:numPr>
    </w:pPr>
  </w:style>
  <w:style w:type="paragraph" w:styleId="ListNumber5">
    <w:name w:val="List Number 5"/>
    <w:basedOn w:val="List5"/>
    <w:rsid w:val="00DF57F6"/>
    <w:pPr>
      <w:numPr>
        <w:numId w:val="7"/>
      </w:numPr>
    </w:pPr>
  </w:style>
  <w:style w:type="paragraph" w:styleId="BlockText">
    <w:name w:val="Block Text"/>
    <w:basedOn w:val="Normal"/>
    <w:rsid w:val="00DF57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57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57F6"/>
    <w:rPr>
      <w:sz w:val="16"/>
      <w:vertAlign w:val="superscript"/>
    </w:rPr>
  </w:style>
  <w:style w:type="character" w:customStyle="1" w:styleId="Symbols">
    <w:name w:val="Symbols"/>
    <w:basedOn w:val="DefaultParagraphFont"/>
    <w:rsid w:val="00DF57F6"/>
    <w:rPr>
      <w:rFonts w:ascii="Symbol" w:hAnsi="Symbol"/>
    </w:rPr>
  </w:style>
  <w:style w:type="character" w:customStyle="1" w:styleId="MenuOptions">
    <w:name w:val="Menu Options"/>
    <w:basedOn w:val="DefaultParagraphFont"/>
    <w:rsid w:val="00DF57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57F6"/>
    <w:rPr>
      <w:b/>
    </w:rPr>
  </w:style>
  <w:style w:type="character" w:customStyle="1" w:styleId="Underlined">
    <w:name w:val="Underlined"/>
    <w:basedOn w:val="DefaultParagraphFont"/>
    <w:rsid w:val="00DF57F6"/>
    <w:rPr>
      <w:u w:val="single"/>
    </w:rPr>
  </w:style>
  <w:style w:type="paragraph" w:customStyle="1" w:styleId="TableBodyTextRight">
    <w:name w:val="Table Body Text Right"/>
    <w:basedOn w:val="TableBodyText"/>
    <w:rsid w:val="00DF57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57F6"/>
    <w:rPr>
      <w:sz w:val="18"/>
    </w:rPr>
  </w:style>
  <w:style w:type="paragraph" w:customStyle="1" w:styleId="BodySmallRight">
    <w:name w:val="Body Small Right"/>
    <w:basedOn w:val="BodyTextRight"/>
    <w:rsid w:val="00DF57F6"/>
    <w:rPr>
      <w:sz w:val="18"/>
      <w:szCs w:val="18"/>
    </w:rPr>
  </w:style>
  <w:style w:type="paragraph" w:customStyle="1" w:styleId="MarginEdition">
    <w:name w:val="Margin Edition"/>
    <w:basedOn w:val="MarginNote"/>
    <w:rsid w:val="00DF57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57F6"/>
    <w:rPr>
      <w:sz w:val="2"/>
      <w:szCs w:val="2"/>
    </w:rPr>
  </w:style>
  <w:style w:type="character" w:customStyle="1" w:styleId="Small">
    <w:name w:val="Small"/>
    <w:basedOn w:val="DefaultParagraphFont"/>
    <w:rsid w:val="00DF57F6"/>
    <w:rPr>
      <w:sz w:val="16"/>
    </w:rPr>
  </w:style>
  <w:style w:type="paragraph" w:customStyle="1" w:styleId="WideTable">
    <w:name w:val="Wide Table"/>
    <w:basedOn w:val="Normal"/>
    <w:rsid w:val="00DF57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57F6"/>
  </w:style>
  <w:style w:type="paragraph" w:styleId="Quote">
    <w:name w:val="Quote"/>
    <w:basedOn w:val="Heading1"/>
    <w:link w:val="QuoteChar"/>
    <w:qFormat/>
    <w:rsid w:val="00DF57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57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57F6"/>
    <w:pPr>
      <w:pageBreakBefore/>
    </w:pPr>
  </w:style>
  <w:style w:type="paragraph" w:customStyle="1" w:styleId="Border">
    <w:name w:val="Border"/>
    <w:basedOn w:val="Normal"/>
    <w:qFormat/>
    <w:rsid w:val="00DF57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57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7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7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57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57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57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57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57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57F6"/>
    <w:rPr>
      <w:u w:val="single"/>
    </w:rPr>
  </w:style>
  <w:style w:type="character" w:customStyle="1" w:styleId="BoldandItalics">
    <w:name w:val="Bold and Italics"/>
    <w:qFormat/>
    <w:rsid w:val="00DF57F6"/>
    <w:rPr>
      <w:b/>
      <w:i/>
      <w:u w:val="none"/>
    </w:rPr>
  </w:style>
  <w:style w:type="paragraph" w:styleId="BalloonText">
    <w:name w:val="Balloon Text"/>
    <w:basedOn w:val="Normal"/>
    <w:link w:val="BalloonTextChar"/>
    <w:rsid w:val="00DF57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57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57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57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57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57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57F6"/>
    <w:pPr>
      <w:spacing w:before="0" w:after="0"/>
    </w:pPr>
  </w:style>
  <w:style w:type="paragraph" w:customStyle="1" w:styleId="BodyTextBold">
    <w:name w:val="Body Text Bold"/>
    <w:basedOn w:val="BodyText"/>
    <w:qFormat/>
    <w:rsid w:val="00DF57F6"/>
    <w:rPr>
      <w:b/>
    </w:rPr>
  </w:style>
  <w:style w:type="character" w:styleId="Hyperlink">
    <w:name w:val="Hyperlink"/>
    <w:basedOn w:val="DefaultParagraphFont"/>
    <w:uiPriority w:val="99"/>
    <w:unhideWhenUsed/>
    <w:rsid w:val="00E72B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498</Words>
  <Characters>3515</Characters>
  <Application>Microsoft Office Word</Application>
  <DocSecurity>0</DocSecurity>
  <Lines>85</Lines>
  <Paragraphs>68</Paragraphs>
  <ScaleCrop>false</ScaleCrop>
  <Company>Author-it Software Corporation Ltd.</Company>
  <LinksUpToDate>false</LinksUpToDate>
  <CharactersWithSpaces>3945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CPCCBC6005 Manage tender developments for major projects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2024-12-24T01:05:00Z</dcterms:created>
  <dcterms:modified xsi:type="dcterms:W3CDTF">2024-12-24T01:05:00Z</dcterms:modified>
</cp:coreProperties>
</file>