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4E02" w:rsidP="00444E02">
      <w:pPr>
        <w:pStyle w:val="Title"/>
      </w:pPr>
      <w:r>
        <w:fldChar w:fldCharType="begin"/>
      </w:r>
      <w:r>
        <w:instrText xml:space="preserve"> TITLE   \* MERGEFORMAT </w:instrText>
      </w:r>
      <w:r>
        <w:fldChar w:fldCharType="separate"/>
      </w:r>
      <w:r>
        <w:t>CPCCBC5019 Manage building and construction business finances</w:t>
      </w:r>
      <w:r>
        <w:fldChar w:fldCharType="end"/>
      </w:r>
    </w:p>
    <w:p w:rsidR="00444E02" w:rsidP="00444E02">
      <w:pPr>
        <w:pStyle w:val="Version"/>
        <w:sectPr w:rsidSect="00A960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9606C" w:rsidP="00A9606C">
      <w:pPr>
        <w:pStyle w:val="SuperHeading"/>
      </w:pPr>
      <w:r w:rsidRPr="00A9606C">
        <w:t>CPCCBC5019 Manage building and construction business finances</w:t>
      </w:r>
    </w:p>
    <w:p w:rsidR="00000000" w:rsidRPr="00A9606C" w:rsidP="00A9606C">
      <w:pPr>
        <w:pStyle w:val="Heading1"/>
      </w:pPr>
      <w:bookmarkStart w:id="1" w:name="O_1293904"/>
      <w:bookmarkEnd w:id="1"/>
      <w:r w:rsidRPr="00A9606C">
        <w:t>Modification History</w:t>
      </w:r>
    </w:p>
    <w:tbl>
      <w:tblPr>
        <w:tblW w:w="0" w:type="auto"/>
        <w:tblLayout w:type="fixed"/>
        <w:tblCellMar>
          <w:left w:w="62" w:type="dxa"/>
          <w:right w:w="62" w:type="dxa"/>
        </w:tblCellMar>
        <w:tblLook w:val="0000"/>
      </w:tblPr>
      <w:tblGrid>
        <w:gridCol w:w="1128"/>
        <w:gridCol w:w="7944"/>
      </w:tblGrid>
      <w:tr w:rsidTr="00A9606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A9606C">
            <w:pPr>
              <w:pStyle w:val="BodyText"/>
              <w:rPr>
                <w:lang w:val="en-NZ"/>
              </w:rPr>
            </w:pPr>
            <w:r w:rsidRPr="00A9606C">
              <w:t>Release 2</w:t>
            </w:r>
          </w:p>
        </w:tc>
        <w:tc>
          <w:tcPr>
            <w:tcW w:w="7944" w:type="dxa"/>
            <w:tcBorders>
              <w:top w:val="nil"/>
              <w:left w:val="nil"/>
              <w:bottom w:val="nil"/>
              <w:right w:val="nil"/>
            </w:tcBorders>
            <w:tcMar>
              <w:top w:w="0" w:type="dxa"/>
              <w:left w:w="62" w:type="dxa"/>
              <w:bottom w:w="0" w:type="dxa"/>
              <w:right w:w="62" w:type="dxa"/>
            </w:tcMar>
          </w:tcPr>
          <w:p w:rsidR="00000000" w:rsidP="00A9606C">
            <w:pPr>
              <w:pStyle w:val="BodyText"/>
              <w:rPr>
                <w:lang w:val="en-NZ"/>
              </w:rPr>
            </w:pPr>
            <w:r w:rsidRPr="00A9606C">
              <w:t>Updated reference to general construction induction training program.</w:t>
            </w:r>
          </w:p>
        </w:tc>
      </w:tr>
      <w:tr w:rsidTr="00A9606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A9606C">
            <w:pPr>
              <w:pStyle w:val="BodyText"/>
              <w:rPr>
                <w:lang w:val="en-NZ"/>
              </w:rPr>
            </w:pPr>
            <w:r w:rsidRPr="00A9606C">
              <w:t>Release 1</w:t>
            </w:r>
          </w:p>
        </w:tc>
        <w:tc>
          <w:tcPr>
            <w:tcW w:w="7944" w:type="dxa"/>
            <w:tcBorders>
              <w:top w:val="nil"/>
              <w:left w:val="nil"/>
              <w:bottom w:val="nil"/>
              <w:right w:val="nil"/>
            </w:tcBorders>
            <w:tcMar>
              <w:top w:w="0" w:type="dxa"/>
              <w:left w:w="62" w:type="dxa"/>
              <w:bottom w:w="0" w:type="dxa"/>
              <w:right w:w="62" w:type="dxa"/>
            </w:tcMar>
          </w:tcPr>
          <w:p w:rsidR="00000000" w:rsidRPr="00A9606C" w:rsidP="00A9606C">
            <w:pPr>
              <w:pStyle w:val="BodyText"/>
            </w:pPr>
            <w:r w:rsidRPr="00A9606C">
              <w:t>This version first released with CPC Construction, Plumbing and Services Training Package Release 5.0.</w:t>
            </w:r>
          </w:p>
          <w:p w:rsidR="00000000" w:rsidRPr="00A9606C" w:rsidP="00A9606C">
            <w:pPr>
              <w:pStyle w:val="BodyText"/>
            </w:pPr>
            <w:r w:rsidRPr="00A9606C">
              <w:t>New unit.</w:t>
            </w:r>
          </w:p>
        </w:tc>
      </w:tr>
    </w:tbl>
    <w:p w:rsidR="00000000" w:rsidRPr="00A9606C" w:rsidP="00A9606C">
      <w:pPr>
        <w:pStyle w:val="BodyText"/>
      </w:pPr>
    </w:p>
    <w:p w:rsidR="00000000" w:rsidRPr="00A9606C" w:rsidP="00A9606C">
      <w:pPr>
        <w:pStyle w:val="AllowPageBreak"/>
      </w:pPr>
    </w:p>
    <w:p w:rsidR="00000000" w:rsidRPr="00A9606C" w:rsidP="00A9606C">
      <w:pPr>
        <w:pStyle w:val="Heading1"/>
      </w:pPr>
      <w:bookmarkStart w:id="2" w:name="O_1293903"/>
      <w:bookmarkEnd w:id="2"/>
      <w:r w:rsidRPr="00A9606C">
        <w:t>Application</w:t>
      </w:r>
    </w:p>
    <w:p w:rsidR="00000000" w:rsidRPr="00A9606C" w:rsidP="00444E02">
      <w:pPr>
        <w:pStyle w:val="BodyText"/>
      </w:pPr>
      <w:r w:rsidRPr="00A9606C">
        <w:t>This unit of competency specifies the skills and knowledge required to manage and administer finances within a building and construction business. It includes managing business financial risks, revenue and expenditure and meeting statu</w:t>
      </w:r>
      <w:r w:rsidRPr="00A9606C">
        <w:t>tory financial obligations.</w:t>
      </w:r>
    </w:p>
    <w:p w:rsidR="00000000" w:rsidRPr="00A9606C" w:rsidP="00444E02">
      <w:pPr>
        <w:pStyle w:val="BodyText"/>
      </w:pPr>
      <w:r w:rsidRPr="00A9606C">
        <w:t>This unit of competency applies to builders, site supervisors and related construction industry professionals responsible for managing organisational finance systems to ensure the financial viability of a building and constructi</w:t>
      </w:r>
      <w:r w:rsidRPr="00A9606C">
        <w:t xml:space="preserve">on business. </w:t>
      </w:r>
    </w:p>
    <w:p w:rsidR="00000000" w:rsidRPr="00A9606C" w:rsidP="00444E02">
      <w:pPr>
        <w:pStyle w:val="BodyText"/>
      </w:pPr>
      <w:r w:rsidRPr="00A9606C">
        <w:t xml:space="preserve">Completion of the general construction induction training program specified by the model Code of Practice for Construction Work is required for any person who is to carry out construction work. Achievement of </w:t>
      </w:r>
      <w:r w:rsidRPr="00A9606C">
        <w:rPr>
          <w:rStyle w:val="Emphasis"/>
        </w:rPr>
        <w:t>CPCWHS1001</w:t>
      </w:r>
      <w:r w:rsidRPr="00A9606C">
        <w:t xml:space="preserve"> </w:t>
      </w:r>
      <w:r w:rsidRPr="00A9606C">
        <w:rPr>
          <w:rStyle w:val="Emphasis"/>
        </w:rPr>
        <w:t>Prepare to work safely</w:t>
      </w:r>
      <w:r w:rsidRPr="00A9606C">
        <w:rPr>
          <w:rStyle w:val="Emphasis"/>
        </w:rPr>
        <w:t xml:space="preserve"> in the construction industry </w:t>
      </w:r>
      <w:r w:rsidRPr="00A9606C">
        <w:t>meets this requirement.</w:t>
      </w:r>
    </w:p>
    <w:p w:rsidR="00000000" w:rsidRPr="00A9606C" w:rsidP="00444E02">
      <w:pPr>
        <w:pStyle w:val="BodyText"/>
      </w:pPr>
      <w:r w:rsidRPr="00A9606C">
        <w:t>No licensing, legislative or certification requirements apply to this unit at the time of publication.</w:t>
      </w:r>
    </w:p>
    <w:p w:rsidR="00000000" w:rsidRPr="00A9606C" w:rsidP="00A9606C">
      <w:pPr>
        <w:pStyle w:val="Heading1"/>
      </w:pPr>
      <w:bookmarkStart w:id="3" w:name="O_1293902"/>
      <w:bookmarkEnd w:id="3"/>
      <w:r w:rsidRPr="00A9606C">
        <w:t>Pre-requisite Unit</w:t>
      </w:r>
    </w:p>
    <w:p w:rsidR="00000000" w:rsidRPr="00A9606C" w:rsidP="00444E02">
      <w:pPr>
        <w:pStyle w:val="BodyText"/>
      </w:pPr>
      <w:r w:rsidRPr="00A9606C">
        <w:t>Nil.</w:t>
      </w:r>
    </w:p>
    <w:p w:rsidR="00000000" w:rsidRPr="00A9606C" w:rsidP="00A9606C">
      <w:pPr>
        <w:pStyle w:val="Heading1"/>
      </w:pPr>
      <w:bookmarkStart w:id="4" w:name="O_1293901"/>
      <w:bookmarkEnd w:id="4"/>
      <w:r w:rsidRPr="00A9606C">
        <w:t>Unit Sector</w:t>
      </w:r>
    </w:p>
    <w:p w:rsidR="00000000" w:rsidRPr="00A9606C" w:rsidP="00444E02">
      <w:pPr>
        <w:pStyle w:val="BodyText"/>
      </w:pPr>
      <w:r w:rsidRPr="00A9606C">
        <w:t>Building and Construction</w:t>
      </w:r>
    </w:p>
    <w:p w:rsidR="00000000" w:rsidRPr="00A9606C" w:rsidP="00A9606C">
      <w:pPr>
        <w:pStyle w:val="Heading1"/>
      </w:pPr>
      <w:bookmarkStart w:id="5" w:name="O_1293900"/>
      <w:bookmarkEnd w:id="5"/>
      <w:r w:rsidRPr="00A9606C">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A9606C">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A9606C">
            <w:pPr>
              <w:pStyle w:val="BodyText"/>
              <w:rPr>
                <w:lang w:val="en-NZ"/>
              </w:rPr>
            </w:pPr>
            <w:r w:rsidRPr="00A9606C">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A9606C">
            <w:pPr>
              <w:pStyle w:val="BodyText"/>
              <w:rPr>
                <w:lang w:val="en-NZ"/>
              </w:rPr>
            </w:pPr>
            <w:r w:rsidRPr="00A9606C">
              <w:t>Performance criteria describe what needs to be done to demonstrate achievement of the element.</w:t>
            </w:r>
          </w:p>
        </w:tc>
      </w:tr>
      <w:tr w:rsidTr="00A9606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9606C">
            <w:pPr>
              <w:pStyle w:val="BodyText"/>
              <w:rPr>
                <w:lang w:val="en-NZ"/>
              </w:rPr>
            </w:pPr>
            <w:r w:rsidRPr="00A9606C">
              <w:t>1</w:t>
            </w:r>
          </w:p>
        </w:tc>
        <w:tc>
          <w:tcPr>
            <w:tcW w:w="2357" w:type="dxa"/>
            <w:vMerge w:val="restart"/>
            <w:tcBorders>
              <w:top w:val="nil"/>
              <w:left w:val="nil"/>
              <w:bottom w:val="nil"/>
              <w:right w:val="nil"/>
            </w:tcBorders>
            <w:tcMar>
              <w:top w:w="0" w:type="dxa"/>
              <w:left w:w="62" w:type="dxa"/>
              <w:bottom w:w="0" w:type="dxa"/>
              <w:right w:w="62" w:type="dxa"/>
            </w:tcMar>
          </w:tcPr>
          <w:p w:rsidR="00000000" w:rsidP="00A9606C">
            <w:pPr>
              <w:pStyle w:val="BodyText"/>
              <w:rPr>
                <w:lang w:val="en-NZ"/>
              </w:rPr>
            </w:pPr>
            <w:r w:rsidRPr="00A9606C">
              <w:t xml:space="preserve">Identify requirements </w:t>
            </w:r>
            <w:r w:rsidRPr="00A9606C">
              <w:t>of the business.</w:t>
            </w:r>
          </w:p>
        </w:tc>
        <w:tc>
          <w:tcPr>
            <w:tcW w:w="804" w:type="dxa"/>
            <w:tcBorders>
              <w:top w:val="nil"/>
              <w:left w:val="nil"/>
              <w:bottom w:val="nil"/>
              <w:right w:val="nil"/>
            </w:tcBorders>
            <w:tcMar>
              <w:top w:w="0" w:type="dxa"/>
              <w:left w:w="62" w:type="dxa"/>
              <w:bottom w:w="0" w:type="dxa"/>
              <w:right w:w="62" w:type="dxa"/>
            </w:tcMar>
          </w:tcPr>
          <w:p w:rsidR="00000000" w:rsidP="00A9606C">
            <w:pPr>
              <w:pStyle w:val="BodyText"/>
              <w:rPr>
                <w:lang w:val="en-NZ"/>
              </w:rPr>
            </w:pPr>
            <w:r w:rsidRPr="00A9606C">
              <w:t>1.1</w:t>
            </w:r>
          </w:p>
        </w:tc>
        <w:tc>
          <w:tcPr>
            <w:tcW w:w="5659" w:type="dxa"/>
            <w:tcBorders>
              <w:top w:val="nil"/>
              <w:left w:val="nil"/>
              <w:bottom w:val="nil"/>
              <w:right w:val="nil"/>
            </w:tcBorders>
            <w:tcMar>
              <w:top w:w="0" w:type="dxa"/>
              <w:left w:w="62" w:type="dxa"/>
              <w:bottom w:w="0" w:type="dxa"/>
              <w:right w:w="62" w:type="dxa"/>
            </w:tcMar>
          </w:tcPr>
          <w:p w:rsidR="00000000" w:rsidP="00A9606C">
            <w:pPr>
              <w:pStyle w:val="BodyText"/>
              <w:rPr>
                <w:lang w:val="en-NZ"/>
              </w:rPr>
            </w:pPr>
            <w:r w:rsidRPr="00A9606C">
              <w:t>Identify building</w:t>
            </w:r>
            <w:r w:rsidRPr="00A9606C">
              <w:t xml:space="preserve"> and construction business legislation, </w:t>
            </w:r>
            <w:r w:rsidRPr="00A9606C">
              <w:t>regulations and operational and business requirements.</w:t>
            </w:r>
          </w:p>
        </w:tc>
      </w:tr>
      <w:tr w:rsidTr="00A960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9606C">
            <w:pPr>
              <w:pStyle w:val="BodyText"/>
              <w:rPr>
                <w:lang w:val="en-NZ"/>
              </w:rPr>
            </w:pPr>
            <w:r w:rsidRPr="00A9606C">
              <w:t>1.2</w:t>
            </w:r>
          </w:p>
        </w:tc>
        <w:tc>
          <w:tcPr>
            <w:tcW w:w="5659" w:type="dxa"/>
            <w:tcBorders>
              <w:top w:val="nil"/>
              <w:left w:val="nil"/>
              <w:bottom w:val="nil"/>
              <w:right w:val="nil"/>
            </w:tcBorders>
            <w:tcMar>
              <w:top w:w="0" w:type="dxa"/>
              <w:left w:w="62" w:type="dxa"/>
              <w:bottom w:w="0" w:type="dxa"/>
              <w:right w:w="62" w:type="dxa"/>
            </w:tcMar>
          </w:tcPr>
          <w:p w:rsidR="00000000" w:rsidP="00A9606C">
            <w:pPr>
              <w:pStyle w:val="BodyText"/>
              <w:rPr>
                <w:lang w:val="en-NZ"/>
              </w:rPr>
            </w:pPr>
            <w:r w:rsidRPr="00A9606C">
              <w:t>Recognise areas of the business requiring expert advice and assistance to meet compliance.</w:t>
            </w:r>
          </w:p>
        </w:tc>
      </w:tr>
      <w:tr w:rsidTr="00A960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9606C">
            <w:pPr>
              <w:pStyle w:val="BodyText"/>
              <w:rPr>
                <w:lang w:val="en-NZ"/>
              </w:rPr>
            </w:pPr>
            <w:r w:rsidRPr="00A9606C">
              <w:t>1.3</w:t>
            </w:r>
          </w:p>
        </w:tc>
        <w:tc>
          <w:tcPr>
            <w:tcW w:w="5659" w:type="dxa"/>
            <w:tcBorders>
              <w:top w:val="nil"/>
              <w:left w:val="nil"/>
              <w:bottom w:val="nil"/>
              <w:right w:val="nil"/>
            </w:tcBorders>
            <w:tcMar>
              <w:top w:w="0" w:type="dxa"/>
              <w:left w:w="62" w:type="dxa"/>
              <w:bottom w:w="0" w:type="dxa"/>
              <w:right w:w="62" w:type="dxa"/>
            </w:tcMar>
          </w:tcPr>
          <w:p w:rsidR="00000000" w:rsidP="00A9606C">
            <w:pPr>
              <w:pStyle w:val="BodyText"/>
              <w:rPr>
                <w:lang w:val="en-NZ"/>
              </w:rPr>
            </w:pPr>
            <w:r w:rsidRPr="00A9606C">
              <w:t xml:space="preserve">Establish business systems and programs to manage business financial requirements and remain up to date and compliant with industry and business changes. </w:t>
            </w:r>
          </w:p>
        </w:tc>
      </w:tr>
      <w:tr w:rsidTr="00A960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9606C">
            <w:pPr>
              <w:pStyle w:val="BodyText"/>
              <w:rPr>
                <w:lang w:val="en-NZ"/>
              </w:rPr>
            </w:pPr>
            <w:r w:rsidRPr="00A9606C">
              <w:t>1.4</w:t>
            </w:r>
          </w:p>
        </w:tc>
        <w:tc>
          <w:tcPr>
            <w:tcW w:w="5659" w:type="dxa"/>
            <w:tcBorders>
              <w:top w:val="nil"/>
              <w:left w:val="nil"/>
              <w:bottom w:val="nil"/>
              <w:right w:val="nil"/>
            </w:tcBorders>
            <w:tcMar>
              <w:top w:w="0" w:type="dxa"/>
              <w:left w:w="62" w:type="dxa"/>
              <w:bottom w:w="0" w:type="dxa"/>
              <w:right w:w="62" w:type="dxa"/>
            </w:tcMar>
          </w:tcPr>
          <w:p w:rsidR="00000000" w:rsidP="00A9606C">
            <w:pPr>
              <w:pStyle w:val="BodyText"/>
              <w:rPr>
                <w:lang w:val="en-NZ"/>
              </w:rPr>
            </w:pPr>
            <w:r w:rsidRPr="00A9606C">
              <w:t>Conduct a risk assessment to determine adverse outcomes and consequences.</w:t>
            </w:r>
          </w:p>
        </w:tc>
      </w:tr>
      <w:tr w:rsidTr="00A960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9606C">
            <w:pPr>
              <w:pStyle w:val="BodyText"/>
              <w:rPr>
                <w:lang w:val="en-NZ"/>
              </w:rPr>
            </w:pPr>
            <w:r w:rsidRPr="00A9606C">
              <w:t>1.5</w:t>
            </w:r>
          </w:p>
        </w:tc>
        <w:tc>
          <w:tcPr>
            <w:tcW w:w="5659" w:type="dxa"/>
            <w:tcBorders>
              <w:top w:val="nil"/>
              <w:left w:val="nil"/>
              <w:bottom w:val="nil"/>
              <w:right w:val="nil"/>
            </w:tcBorders>
            <w:tcMar>
              <w:top w:w="0" w:type="dxa"/>
              <w:left w:w="62" w:type="dxa"/>
              <w:bottom w:w="0" w:type="dxa"/>
              <w:right w:w="62" w:type="dxa"/>
            </w:tcMar>
          </w:tcPr>
          <w:p w:rsidR="00000000" w:rsidP="00A9606C">
            <w:pPr>
              <w:pStyle w:val="BodyText"/>
              <w:rPr>
                <w:lang w:val="en-NZ"/>
              </w:rPr>
            </w:pPr>
            <w:r w:rsidRPr="00A9606C">
              <w:t>Interpret obligations and responsibilities of managing building and construction finances.</w:t>
            </w:r>
          </w:p>
        </w:tc>
      </w:tr>
      <w:tr w:rsidTr="00A9606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9606C">
            <w:pPr>
              <w:pStyle w:val="BodyText"/>
              <w:rPr>
                <w:lang w:val="en-NZ"/>
              </w:rPr>
            </w:pPr>
          </w:p>
        </w:tc>
      </w:tr>
      <w:tr w:rsidTr="00A9606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9606C">
            <w:pPr>
              <w:pStyle w:val="BodyText"/>
              <w:rPr>
                <w:lang w:val="en-NZ"/>
              </w:rPr>
            </w:pPr>
            <w:r w:rsidRPr="00A9606C">
              <w:t>2</w:t>
            </w:r>
          </w:p>
        </w:tc>
        <w:tc>
          <w:tcPr>
            <w:tcW w:w="2357" w:type="dxa"/>
            <w:vMerge w:val="restart"/>
            <w:tcBorders>
              <w:top w:val="nil"/>
              <w:left w:val="nil"/>
              <w:bottom w:val="nil"/>
              <w:right w:val="nil"/>
            </w:tcBorders>
            <w:tcMar>
              <w:top w:w="0" w:type="dxa"/>
              <w:left w:w="62" w:type="dxa"/>
              <w:bottom w:w="0" w:type="dxa"/>
              <w:right w:w="62" w:type="dxa"/>
            </w:tcMar>
          </w:tcPr>
          <w:p w:rsidR="00000000" w:rsidP="00A9606C">
            <w:pPr>
              <w:pStyle w:val="BodyText"/>
              <w:rPr>
                <w:lang w:val="en-NZ"/>
              </w:rPr>
            </w:pPr>
            <w:r w:rsidRPr="00A9606C">
              <w:t>Manage business finances.</w:t>
            </w:r>
          </w:p>
        </w:tc>
        <w:tc>
          <w:tcPr>
            <w:tcW w:w="804" w:type="dxa"/>
            <w:tcBorders>
              <w:top w:val="nil"/>
              <w:left w:val="nil"/>
              <w:bottom w:val="nil"/>
              <w:right w:val="nil"/>
            </w:tcBorders>
            <w:tcMar>
              <w:top w:w="0" w:type="dxa"/>
              <w:left w:w="62" w:type="dxa"/>
              <w:bottom w:w="0" w:type="dxa"/>
              <w:right w:w="62" w:type="dxa"/>
            </w:tcMar>
          </w:tcPr>
          <w:p w:rsidR="00000000" w:rsidP="00A9606C">
            <w:pPr>
              <w:pStyle w:val="BodyText"/>
              <w:rPr>
                <w:lang w:val="en-NZ"/>
              </w:rPr>
            </w:pPr>
            <w:r w:rsidRPr="00A9606C">
              <w:t>2.1</w:t>
            </w:r>
          </w:p>
        </w:tc>
        <w:tc>
          <w:tcPr>
            <w:tcW w:w="5659" w:type="dxa"/>
            <w:tcBorders>
              <w:top w:val="nil"/>
              <w:left w:val="nil"/>
              <w:bottom w:val="nil"/>
              <w:right w:val="nil"/>
            </w:tcBorders>
            <w:tcMar>
              <w:top w:w="0" w:type="dxa"/>
              <w:left w:w="62" w:type="dxa"/>
              <w:bottom w:w="0" w:type="dxa"/>
              <w:right w:w="62" w:type="dxa"/>
            </w:tcMar>
          </w:tcPr>
          <w:p w:rsidR="00000000" w:rsidP="00A9606C">
            <w:pPr>
              <w:pStyle w:val="BodyText"/>
              <w:rPr>
                <w:lang w:val="en-NZ"/>
              </w:rPr>
            </w:pPr>
            <w:r w:rsidRPr="00A9606C">
              <w:t xml:space="preserve">Review project budgets and scheduled progress payments to schedule project expenses over the life of the project. </w:t>
            </w:r>
          </w:p>
        </w:tc>
      </w:tr>
      <w:tr w:rsidTr="00A960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9606C">
            <w:pPr>
              <w:pStyle w:val="BodyText"/>
              <w:rPr>
                <w:lang w:val="en-NZ"/>
              </w:rPr>
            </w:pPr>
            <w:r w:rsidRPr="00A9606C">
              <w:t>2.2</w:t>
            </w:r>
          </w:p>
        </w:tc>
        <w:tc>
          <w:tcPr>
            <w:tcW w:w="5659" w:type="dxa"/>
            <w:tcBorders>
              <w:top w:val="nil"/>
              <w:left w:val="nil"/>
              <w:bottom w:val="nil"/>
              <w:right w:val="nil"/>
            </w:tcBorders>
            <w:tcMar>
              <w:top w:w="0" w:type="dxa"/>
              <w:left w:w="62" w:type="dxa"/>
              <w:bottom w:w="0" w:type="dxa"/>
              <w:right w:w="62" w:type="dxa"/>
            </w:tcMar>
          </w:tcPr>
          <w:p w:rsidR="00000000" w:rsidP="00A9606C">
            <w:pPr>
              <w:pStyle w:val="BodyText"/>
              <w:rPr>
                <w:lang w:val="en-NZ"/>
              </w:rPr>
            </w:pPr>
            <w:r w:rsidRPr="00A9606C">
              <w:t>Manage cash flow, pay supplier and contractor invoices and retain taxation records.</w:t>
            </w:r>
          </w:p>
        </w:tc>
      </w:tr>
      <w:tr w:rsidTr="00A960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9606C">
            <w:pPr>
              <w:pStyle w:val="BodyText"/>
              <w:rPr>
                <w:lang w:val="en-NZ"/>
              </w:rPr>
            </w:pPr>
            <w:r w:rsidRPr="00A9606C">
              <w:t>2.3</w:t>
            </w:r>
          </w:p>
        </w:tc>
        <w:tc>
          <w:tcPr>
            <w:tcW w:w="5659" w:type="dxa"/>
            <w:tcBorders>
              <w:top w:val="nil"/>
              <w:left w:val="nil"/>
              <w:bottom w:val="nil"/>
              <w:right w:val="nil"/>
            </w:tcBorders>
            <w:tcMar>
              <w:top w:w="0" w:type="dxa"/>
              <w:left w:w="62" w:type="dxa"/>
              <w:bottom w:w="0" w:type="dxa"/>
              <w:right w:w="62" w:type="dxa"/>
            </w:tcMar>
          </w:tcPr>
          <w:p w:rsidR="00000000" w:rsidP="00A9606C">
            <w:pPr>
              <w:pStyle w:val="BodyText"/>
              <w:rPr>
                <w:lang w:val="en-NZ"/>
              </w:rPr>
            </w:pPr>
            <w:r w:rsidRPr="00A9606C">
              <w:t>Manage receipt of revenue and progress payments, and action processes for outstanding debt.</w:t>
            </w:r>
          </w:p>
        </w:tc>
      </w:tr>
      <w:tr w:rsidTr="00A960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9606C">
            <w:pPr>
              <w:pStyle w:val="BodyText"/>
              <w:rPr>
                <w:lang w:val="en-NZ"/>
              </w:rPr>
            </w:pPr>
            <w:r w:rsidRPr="00A9606C">
              <w:t>2.4</w:t>
            </w:r>
          </w:p>
        </w:tc>
        <w:tc>
          <w:tcPr>
            <w:tcW w:w="5659" w:type="dxa"/>
            <w:tcBorders>
              <w:top w:val="nil"/>
              <w:left w:val="nil"/>
              <w:bottom w:val="nil"/>
              <w:right w:val="nil"/>
            </w:tcBorders>
            <w:tcMar>
              <w:top w:w="0" w:type="dxa"/>
              <w:left w:w="62" w:type="dxa"/>
              <w:bottom w:w="0" w:type="dxa"/>
              <w:right w:w="62" w:type="dxa"/>
            </w:tcMar>
          </w:tcPr>
          <w:p w:rsidR="00000000" w:rsidP="00A9606C">
            <w:pPr>
              <w:pStyle w:val="BodyText"/>
              <w:rPr>
                <w:lang w:val="en-NZ"/>
              </w:rPr>
            </w:pPr>
            <w:r w:rsidRPr="00A9606C">
              <w:t>Monitor financial health of the business regularly to identify pot</w:t>
            </w:r>
            <w:r w:rsidRPr="00A9606C">
              <w:t>ential problems and take appropriate action.</w:t>
            </w:r>
          </w:p>
        </w:tc>
      </w:tr>
      <w:tr w:rsidTr="00A960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9606C">
            <w:pPr>
              <w:pStyle w:val="BodyText"/>
              <w:rPr>
                <w:lang w:val="en-NZ"/>
              </w:rPr>
            </w:pPr>
            <w:r w:rsidRPr="00A9606C">
              <w:t>2.5</w:t>
            </w:r>
          </w:p>
        </w:tc>
        <w:tc>
          <w:tcPr>
            <w:tcW w:w="5659" w:type="dxa"/>
            <w:tcBorders>
              <w:top w:val="nil"/>
              <w:left w:val="nil"/>
              <w:bottom w:val="nil"/>
              <w:right w:val="nil"/>
            </w:tcBorders>
            <w:tcMar>
              <w:top w:w="0" w:type="dxa"/>
              <w:left w:w="62" w:type="dxa"/>
              <w:bottom w:w="0" w:type="dxa"/>
              <w:right w:w="62" w:type="dxa"/>
            </w:tcMar>
          </w:tcPr>
          <w:p w:rsidR="00000000" w:rsidP="00A9606C">
            <w:pPr>
              <w:pStyle w:val="BodyText"/>
              <w:rPr>
                <w:lang w:val="en-NZ"/>
              </w:rPr>
            </w:pPr>
            <w:r w:rsidRPr="00A9606C">
              <w:t xml:space="preserve">Introduce options to improve the financial position of the business. </w:t>
            </w:r>
          </w:p>
        </w:tc>
      </w:tr>
      <w:tr w:rsidTr="00A960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9606C">
            <w:pPr>
              <w:pStyle w:val="BodyText"/>
              <w:rPr>
                <w:lang w:val="en-NZ"/>
              </w:rPr>
            </w:pPr>
            <w:r w:rsidRPr="00A9606C">
              <w:t>2.6</w:t>
            </w:r>
          </w:p>
        </w:tc>
        <w:tc>
          <w:tcPr>
            <w:tcW w:w="5659" w:type="dxa"/>
            <w:tcBorders>
              <w:top w:val="nil"/>
              <w:left w:val="nil"/>
              <w:bottom w:val="nil"/>
              <w:right w:val="nil"/>
            </w:tcBorders>
            <w:tcMar>
              <w:top w:w="0" w:type="dxa"/>
              <w:left w:w="62" w:type="dxa"/>
              <w:bottom w:w="0" w:type="dxa"/>
              <w:right w:w="62" w:type="dxa"/>
            </w:tcMar>
          </w:tcPr>
          <w:p w:rsidR="00000000" w:rsidP="00A9606C">
            <w:pPr>
              <w:pStyle w:val="BodyText"/>
              <w:rPr>
                <w:lang w:val="en-NZ"/>
              </w:rPr>
            </w:pPr>
            <w:r w:rsidRPr="00A9606C">
              <w:t>Maintain and save accurate financial records.</w:t>
            </w:r>
          </w:p>
        </w:tc>
      </w:tr>
      <w:tr w:rsidTr="00A9606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9606C">
            <w:pPr>
              <w:pStyle w:val="BodyText"/>
              <w:rPr>
                <w:lang w:val="en-NZ"/>
              </w:rPr>
            </w:pPr>
          </w:p>
        </w:tc>
      </w:tr>
      <w:tr w:rsidTr="00A9606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9606C">
            <w:pPr>
              <w:pStyle w:val="BodyText"/>
              <w:rPr>
                <w:lang w:val="en-NZ"/>
              </w:rPr>
            </w:pPr>
            <w:r w:rsidRPr="00A9606C">
              <w:t>3</w:t>
            </w:r>
          </w:p>
        </w:tc>
        <w:tc>
          <w:tcPr>
            <w:tcW w:w="2357" w:type="dxa"/>
            <w:vMerge w:val="restart"/>
            <w:tcBorders>
              <w:top w:val="nil"/>
              <w:left w:val="nil"/>
              <w:bottom w:val="nil"/>
              <w:right w:val="nil"/>
            </w:tcBorders>
            <w:tcMar>
              <w:top w:w="0" w:type="dxa"/>
              <w:left w:w="62" w:type="dxa"/>
              <w:bottom w:w="0" w:type="dxa"/>
              <w:right w:w="62" w:type="dxa"/>
            </w:tcMar>
          </w:tcPr>
          <w:p w:rsidR="00000000" w:rsidP="00A9606C">
            <w:pPr>
              <w:pStyle w:val="BodyText"/>
              <w:rPr>
                <w:lang w:val="en-NZ"/>
              </w:rPr>
            </w:pPr>
            <w:r w:rsidRPr="00A9606C">
              <w:t>Process taxation, insurance and payments.</w:t>
            </w:r>
          </w:p>
        </w:tc>
        <w:tc>
          <w:tcPr>
            <w:tcW w:w="804" w:type="dxa"/>
            <w:tcBorders>
              <w:top w:val="nil"/>
              <w:left w:val="nil"/>
              <w:bottom w:val="nil"/>
              <w:right w:val="nil"/>
            </w:tcBorders>
            <w:tcMar>
              <w:top w:w="0" w:type="dxa"/>
              <w:left w:w="62" w:type="dxa"/>
              <w:bottom w:w="0" w:type="dxa"/>
              <w:right w:w="62" w:type="dxa"/>
            </w:tcMar>
          </w:tcPr>
          <w:p w:rsidR="00000000" w:rsidP="00A9606C">
            <w:pPr>
              <w:pStyle w:val="BodyText"/>
              <w:rPr>
                <w:lang w:val="en-NZ"/>
              </w:rPr>
            </w:pPr>
            <w:r w:rsidRPr="00A9606C">
              <w:t>3.1</w:t>
            </w:r>
          </w:p>
        </w:tc>
        <w:tc>
          <w:tcPr>
            <w:tcW w:w="5659" w:type="dxa"/>
            <w:tcBorders>
              <w:top w:val="nil"/>
              <w:left w:val="nil"/>
              <w:bottom w:val="nil"/>
              <w:right w:val="nil"/>
            </w:tcBorders>
            <w:tcMar>
              <w:top w:w="0" w:type="dxa"/>
              <w:left w:w="62" w:type="dxa"/>
              <w:bottom w:w="0" w:type="dxa"/>
              <w:right w:w="62" w:type="dxa"/>
            </w:tcMar>
          </w:tcPr>
          <w:p w:rsidR="00000000" w:rsidP="00A9606C">
            <w:pPr>
              <w:pStyle w:val="BodyText"/>
              <w:rPr>
                <w:lang w:val="en-NZ"/>
              </w:rPr>
            </w:pPr>
            <w:r w:rsidRPr="00A9606C">
              <w:t>Lodge and pay taxes and employee liabilities that apply to a building and construction business.</w:t>
            </w:r>
          </w:p>
        </w:tc>
      </w:tr>
      <w:tr w:rsidTr="00A960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9606C">
            <w:pPr>
              <w:pStyle w:val="BodyText"/>
              <w:rPr>
                <w:lang w:val="en-NZ"/>
              </w:rPr>
            </w:pPr>
            <w:r w:rsidRPr="00A9606C">
              <w:t>3.2</w:t>
            </w:r>
          </w:p>
        </w:tc>
        <w:tc>
          <w:tcPr>
            <w:tcW w:w="5659" w:type="dxa"/>
            <w:tcBorders>
              <w:top w:val="nil"/>
              <w:left w:val="nil"/>
              <w:bottom w:val="nil"/>
              <w:right w:val="nil"/>
            </w:tcBorders>
            <w:tcMar>
              <w:top w:w="0" w:type="dxa"/>
              <w:left w:w="62" w:type="dxa"/>
              <w:bottom w:w="0" w:type="dxa"/>
              <w:right w:w="62" w:type="dxa"/>
            </w:tcMar>
          </w:tcPr>
          <w:p w:rsidR="00000000" w:rsidP="00A9606C">
            <w:pPr>
              <w:pStyle w:val="BodyText"/>
              <w:rPr>
                <w:lang w:val="en-NZ"/>
              </w:rPr>
            </w:pPr>
            <w:r w:rsidRPr="00A9606C">
              <w:t>Review and adjust all insurance cover to accommodate business growth or changes to business operation.</w:t>
            </w:r>
          </w:p>
        </w:tc>
      </w:tr>
      <w:tr w:rsidTr="00A960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9606C">
            <w:pPr>
              <w:pStyle w:val="BodyText"/>
              <w:rPr>
                <w:lang w:val="en-NZ"/>
              </w:rPr>
            </w:pPr>
            <w:r w:rsidRPr="00A9606C">
              <w:t>3.3</w:t>
            </w:r>
          </w:p>
        </w:tc>
        <w:tc>
          <w:tcPr>
            <w:tcW w:w="5659" w:type="dxa"/>
            <w:tcBorders>
              <w:top w:val="nil"/>
              <w:left w:val="nil"/>
              <w:bottom w:val="nil"/>
              <w:right w:val="nil"/>
            </w:tcBorders>
            <w:tcMar>
              <w:top w:w="0" w:type="dxa"/>
              <w:left w:w="62" w:type="dxa"/>
              <w:bottom w:w="0" w:type="dxa"/>
              <w:right w:w="62" w:type="dxa"/>
            </w:tcMar>
          </w:tcPr>
          <w:p w:rsidR="00000000" w:rsidP="00A9606C">
            <w:pPr>
              <w:pStyle w:val="BodyText"/>
              <w:rPr>
                <w:lang w:val="en-NZ"/>
              </w:rPr>
            </w:pPr>
            <w:r w:rsidRPr="00A9606C">
              <w:t>Process payments to employees on time and contractors and suppliers by the due date.</w:t>
            </w:r>
          </w:p>
        </w:tc>
      </w:tr>
      <w:tr w:rsidTr="00A960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9606C">
            <w:pPr>
              <w:pStyle w:val="BodyText"/>
              <w:rPr>
                <w:lang w:val="en-NZ"/>
              </w:rPr>
            </w:pPr>
            <w:r w:rsidRPr="00A9606C">
              <w:t>3.4</w:t>
            </w:r>
          </w:p>
        </w:tc>
        <w:tc>
          <w:tcPr>
            <w:tcW w:w="5659" w:type="dxa"/>
            <w:tcBorders>
              <w:top w:val="nil"/>
              <w:left w:val="nil"/>
              <w:bottom w:val="nil"/>
              <w:right w:val="nil"/>
            </w:tcBorders>
            <w:tcMar>
              <w:top w:w="0" w:type="dxa"/>
              <w:left w:w="62" w:type="dxa"/>
              <w:bottom w:w="0" w:type="dxa"/>
              <w:right w:w="62" w:type="dxa"/>
            </w:tcMar>
          </w:tcPr>
          <w:p w:rsidR="00000000" w:rsidP="00A9606C">
            <w:pPr>
              <w:pStyle w:val="BodyText"/>
              <w:rPr>
                <w:lang w:val="en-NZ"/>
              </w:rPr>
            </w:pPr>
            <w:r w:rsidRPr="00A9606C">
              <w:t>Monitor loan and interest repayments.</w:t>
            </w:r>
          </w:p>
        </w:tc>
      </w:tr>
      <w:tr w:rsidTr="00A960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9606C">
            <w:pPr>
              <w:pStyle w:val="BodyText"/>
              <w:rPr>
                <w:lang w:val="en-NZ"/>
              </w:rPr>
            </w:pPr>
            <w:r w:rsidRPr="00A9606C">
              <w:t>3.5</w:t>
            </w:r>
          </w:p>
        </w:tc>
        <w:tc>
          <w:tcPr>
            <w:tcW w:w="5659" w:type="dxa"/>
            <w:tcBorders>
              <w:top w:val="nil"/>
              <w:left w:val="nil"/>
              <w:bottom w:val="nil"/>
              <w:right w:val="nil"/>
            </w:tcBorders>
            <w:tcMar>
              <w:top w:w="0" w:type="dxa"/>
              <w:left w:w="62" w:type="dxa"/>
              <w:bottom w:w="0" w:type="dxa"/>
              <w:right w:w="62" w:type="dxa"/>
            </w:tcMar>
          </w:tcPr>
          <w:p w:rsidR="00000000" w:rsidRPr="00A9606C" w:rsidP="00A9606C">
            <w:pPr>
              <w:pStyle w:val="BodyText"/>
            </w:pPr>
            <w:r w:rsidRPr="00A9606C">
              <w:t xml:space="preserve">Review ongoing business finances against project budgets. </w:t>
            </w:r>
          </w:p>
        </w:tc>
      </w:tr>
    </w:tbl>
    <w:p w:rsidR="00000000" w:rsidRPr="00A9606C" w:rsidP="00A9606C">
      <w:pPr>
        <w:pStyle w:val="BodyText"/>
      </w:pPr>
    </w:p>
    <w:p w:rsidR="00000000" w:rsidRPr="00A9606C" w:rsidP="00A9606C">
      <w:pPr>
        <w:pStyle w:val="AllowPageBreak"/>
      </w:pPr>
    </w:p>
    <w:p w:rsidR="00000000" w:rsidRPr="00A9606C" w:rsidP="00A9606C">
      <w:pPr>
        <w:pStyle w:val="Heading1"/>
      </w:pPr>
      <w:bookmarkStart w:id="6" w:name="O_1293899"/>
      <w:bookmarkEnd w:id="6"/>
      <w:r w:rsidRPr="00A9606C">
        <w:t>Foundation Skills</w:t>
      </w:r>
    </w:p>
    <w:p w:rsidR="00000000" w:rsidRPr="00A9606C" w:rsidP="00444E02">
      <w:pPr>
        <w:pStyle w:val="BodyText"/>
      </w:pPr>
      <w:r w:rsidRPr="00A9606C">
        <w:t>Foundation skills ess</w:t>
      </w:r>
      <w:r w:rsidRPr="00A9606C">
        <w:t xml:space="preserve">ential to performance are explicit in the performance criteria of this unit of competency. </w:t>
      </w:r>
    </w:p>
    <w:p w:rsidR="00000000" w:rsidRPr="00A9606C" w:rsidP="00A9606C">
      <w:pPr>
        <w:pStyle w:val="Heading1"/>
      </w:pPr>
      <w:bookmarkStart w:id="7" w:name="O_1293898"/>
      <w:bookmarkEnd w:id="7"/>
      <w:r w:rsidRPr="00A9606C">
        <w:t>Unit Mapping Information</w:t>
      </w:r>
    </w:p>
    <w:p w:rsidR="00000000" w:rsidRPr="00A9606C" w:rsidP="00444E02">
      <w:pPr>
        <w:pStyle w:val="BodyText"/>
      </w:pPr>
      <w:r w:rsidRPr="00A9606C">
        <w:t>No equivalent unit.</w:t>
      </w:r>
    </w:p>
    <w:p w:rsidR="00000000" w:rsidRPr="00A9606C" w:rsidP="00A9606C">
      <w:pPr>
        <w:pStyle w:val="Heading1"/>
      </w:pPr>
      <w:bookmarkStart w:id="8" w:name="O_1293905"/>
      <w:bookmarkEnd w:id="8"/>
      <w:r w:rsidRPr="00A9606C">
        <w:t>Links</w:t>
      </w:r>
    </w:p>
    <w:p w:rsidR="00000000" w:rsidRPr="00A9606C" w:rsidP="00444E02">
      <w:pPr>
        <w:pStyle w:val="BodyText"/>
      </w:pPr>
      <w:r w:rsidRPr="00A9606C">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5A4D84">
        <w:rPr>
          <w:rStyle w:val="Hyperlink"/>
        </w:rPr>
        <w:t>https://vetnet.gov.au/Pages/TrainingDocs.aspx?q=7e15fa6a-68b8-4097-b099-030a5569b1ad</w:t>
      </w:r>
      <w:r>
        <w:fldChar w:fldCharType="end"/>
      </w:r>
    </w:p>
    <w:p w:rsidR="00000000" w:rsidRPr="00A9606C" w:rsidP="00444E02">
      <w:pPr>
        <w:pStyle w:val="BodyText"/>
        <w:sectPr w:rsidSect="00A9606C">
          <w:headerReference w:type="default" r:id="rId10"/>
          <w:footerReference w:type="default" r:id="rId11"/>
          <w:pgSz w:w="11908" w:h="16833"/>
          <w:pgMar w:top="1702" w:right="1418" w:bottom="1702" w:left="1418" w:header="992" w:footer="992" w:gutter="0"/>
          <w:cols w:space="720"/>
          <w:noEndnote/>
          <w:docGrid w:linePitch="299"/>
        </w:sectPr>
      </w:pPr>
    </w:p>
    <w:p w:rsidR="00000000" w:rsidRPr="00A9606C" w:rsidP="00A9606C">
      <w:pPr>
        <w:pStyle w:val="SuperHeading"/>
      </w:pPr>
      <w:r w:rsidRPr="00A9606C">
        <w:t>Assessment Requirements for CPCCBC5019 Mana</w:t>
      </w:r>
      <w:r w:rsidRPr="00A9606C">
        <w:t>ge building and construction business finances</w:t>
      </w:r>
    </w:p>
    <w:p w:rsidR="00000000" w:rsidRPr="00A9606C" w:rsidP="00A9606C">
      <w:pPr>
        <w:pStyle w:val="Heading1"/>
      </w:pPr>
      <w:bookmarkStart w:id="9" w:name="O_1293896"/>
      <w:bookmarkEnd w:id="9"/>
      <w:r w:rsidRPr="00A9606C">
        <w:t>Modification History</w:t>
      </w:r>
    </w:p>
    <w:tbl>
      <w:tblPr>
        <w:tblW w:w="0" w:type="auto"/>
        <w:tblLayout w:type="fixed"/>
        <w:tblCellMar>
          <w:left w:w="62" w:type="dxa"/>
          <w:right w:w="62" w:type="dxa"/>
        </w:tblCellMar>
        <w:tblLook w:val="0000"/>
      </w:tblPr>
      <w:tblGrid>
        <w:gridCol w:w="1128"/>
        <w:gridCol w:w="7944"/>
      </w:tblGrid>
      <w:tr w:rsidTr="00A9606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A9606C">
            <w:pPr>
              <w:pStyle w:val="BodyText"/>
              <w:rPr>
                <w:lang w:val="en-NZ"/>
              </w:rPr>
            </w:pPr>
            <w:r w:rsidRPr="00A9606C">
              <w:t>Release 2</w:t>
            </w:r>
          </w:p>
        </w:tc>
        <w:tc>
          <w:tcPr>
            <w:tcW w:w="7944" w:type="dxa"/>
            <w:tcBorders>
              <w:top w:val="nil"/>
              <w:left w:val="nil"/>
              <w:bottom w:val="nil"/>
              <w:right w:val="nil"/>
            </w:tcBorders>
            <w:tcMar>
              <w:top w:w="0" w:type="dxa"/>
              <w:left w:w="62" w:type="dxa"/>
              <w:bottom w:w="0" w:type="dxa"/>
              <w:right w:w="62" w:type="dxa"/>
            </w:tcMar>
          </w:tcPr>
          <w:p w:rsidR="00000000" w:rsidP="00A9606C">
            <w:pPr>
              <w:pStyle w:val="BodyText"/>
              <w:rPr>
                <w:lang w:val="en-NZ"/>
              </w:rPr>
            </w:pPr>
            <w:r w:rsidRPr="00A9606C">
              <w:t>Updated reference to general construction induction training program.</w:t>
            </w:r>
          </w:p>
        </w:tc>
      </w:tr>
      <w:tr w:rsidTr="00A9606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A9606C">
            <w:pPr>
              <w:pStyle w:val="BodyText"/>
              <w:rPr>
                <w:lang w:val="en-NZ"/>
              </w:rPr>
            </w:pPr>
            <w:r w:rsidRPr="00A9606C">
              <w:t>Release 1</w:t>
            </w:r>
          </w:p>
        </w:tc>
        <w:tc>
          <w:tcPr>
            <w:tcW w:w="7944" w:type="dxa"/>
            <w:tcBorders>
              <w:top w:val="nil"/>
              <w:left w:val="nil"/>
              <w:bottom w:val="nil"/>
              <w:right w:val="nil"/>
            </w:tcBorders>
            <w:tcMar>
              <w:top w:w="0" w:type="dxa"/>
              <w:left w:w="62" w:type="dxa"/>
              <w:bottom w:w="0" w:type="dxa"/>
              <w:right w:w="62" w:type="dxa"/>
            </w:tcMar>
          </w:tcPr>
          <w:p w:rsidR="00000000" w:rsidRPr="00A9606C" w:rsidP="00A9606C">
            <w:pPr>
              <w:pStyle w:val="BodyText"/>
            </w:pPr>
            <w:r w:rsidRPr="00A9606C">
              <w:t>This version first released with CPC Construction, Plumbing and Services Traini</w:t>
            </w:r>
            <w:r w:rsidRPr="00A9606C">
              <w:t>ng Package Release 5.0.</w:t>
            </w:r>
          </w:p>
          <w:p w:rsidR="00000000" w:rsidRPr="00A9606C" w:rsidP="00A9606C">
            <w:pPr>
              <w:pStyle w:val="BodyText"/>
            </w:pPr>
            <w:r w:rsidRPr="00A9606C">
              <w:t>New unit.</w:t>
            </w:r>
          </w:p>
        </w:tc>
      </w:tr>
    </w:tbl>
    <w:p w:rsidR="00000000" w:rsidRPr="00A9606C" w:rsidP="00A9606C">
      <w:pPr>
        <w:pStyle w:val="BodyText"/>
      </w:pPr>
    </w:p>
    <w:p w:rsidR="00000000" w:rsidRPr="00A9606C" w:rsidP="00A9606C">
      <w:pPr>
        <w:pStyle w:val="AllowPageBreak"/>
      </w:pPr>
    </w:p>
    <w:p w:rsidR="00000000" w:rsidRPr="00A9606C" w:rsidP="00A9606C">
      <w:pPr>
        <w:pStyle w:val="Heading1"/>
      </w:pPr>
      <w:bookmarkStart w:id="10" w:name="O_1293895"/>
      <w:bookmarkEnd w:id="10"/>
      <w:r w:rsidRPr="00A9606C">
        <w:t>Performance Evidence</w:t>
      </w:r>
    </w:p>
    <w:p w:rsidR="00000000" w:rsidRPr="00A9606C" w:rsidP="00444E02">
      <w:pPr>
        <w:pStyle w:val="BodyText"/>
      </w:pPr>
      <w:r w:rsidRPr="00A9606C">
        <w:t xml:space="preserve">To demonstrate competency, a candidate must meet the elements and performance criteria of this unit by managing the business finances for a building and construction </w:t>
      </w:r>
      <w:r w:rsidRPr="00A9606C">
        <w:t>business over at least six months of business activity and including at least one building and construction project.</w:t>
      </w:r>
    </w:p>
    <w:p w:rsidR="00000000" w:rsidRPr="00A9606C" w:rsidP="00444E02">
      <w:pPr>
        <w:pStyle w:val="BodyText"/>
      </w:pPr>
      <w:r w:rsidRPr="00A9606C">
        <w:t>In doing this, the candidate must:</w:t>
      </w:r>
    </w:p>
    <w:p w:rsidR="00000000" w:rsidRPr="00A9606C" w:rsidP="00A9606C">
      <w:pPr>
        <w:pStyle w:val="ListBullet"/>
      </w:pPr>
      <w:r w:rsidRPr="00A9606C">
        <w:t>manage business financial systems and processes</w:t>
      </w:r>
    </w:p>
    <w:p w:rsidR="00000000" w:rsidRPr="00A9606C" w:rsidP="00A9606C">
      <w:pPr>
        <w:pStyle w:val="ListBullet"/>
      </w:pPr>
      <w:r w:rsidRPr="00A9606C">
        <w:t>schedule, monitor and process incoming and outgoing pay</w:t>
      </w:r>
      <w:r w:rsidRPr="00A9606C">
        <w:t>ments</w:t>
      </w:r>
    </w:p>
    <w:p w:rsidR="00000000" w:rsidRPr="00A9606C" w:rsidP="00A9606C">
      <w:pPr>
        <w:pStyle w:val="ListBullet"/>
      </w:pPr>
      <w:r w:rsidRPr="00A9606C">
        <w:t>manage budgeting, cash flow and debt recovery</w:t>
      </w:r>
    </w:p>
    <w:p w:rsidR="00000000" w:rsidRPr="00A9606C" w:rsidP="00A9606C">
      <w:pPr>
        <w:pStyle w:val="ListBullet"/>
      </w:pPr>
      <w:r w:rsidRPr="00A9606C">
        <w:t>lodge monthly, quarterly or annual statements and pay tax and workplace liabilities for the registered business</w:t>
      </w:r>
    </w:p>
    <w:p w:rsidR="00000000" w:rsidRPr="00A9606C" w:rsidP="00A9606C">
      <w:pPr>
        <w:pStyle w:val="ListBullet"/>
      </w:pPr>
      <w:r w:rsidRPr="00A9606C">
        <w:t>conduct a business financial risk assessment.</w:t>
      </w:r>
    </w:p>
    <w:p w:rsidR="00000000" w:rsidRPr="00A9606C" w:rsidP="00A9606C">
      <w:pPr>
        <w:pStyle w:val="AllowPageBreak"/>
      </w:pPr>
    </w:p>
    <w:p w:rsidR="00000000" w:rsidRPr="00A9606C" w:rsidP="00A9606C">
      <w:pPr>
        <w:pStyle w:val="Heading1"/>
      </w:pPr>
      <w:bookmarkStart w:id="11" w:name="O_1293894"/>
      <w:bookmarkEnd w:id="11"/>
      <w:r w:rsidRPr="00A9606C">
        <w:t>Knowledge Evidence</w:t>
      </w:r>
    </w:p>
    <w:p w:rsidR="00000000" w:rsidRPr="00A9606C" w:rsidP="00444E02">
      <w:pPr>
        <w:pStyle w:val="BodyText"/>
      </w:pPr>
      <w:r w:rsidRPr="00A9606C">
        <w:t>To be co</w:t>
      </w:r>
      <w:r w:rsidRPr="00A9606C">
        <w:t>mpetent in this unit, a candidate must demonstrate knowledge of:</w:t>
      </w:r>
    </w:p>
    <w:p w:rsidR="00000000" w:rsidRPr="00A9606C" w:rsidP="00A9606C">
      <w:pPr>
        <w:pStyle w:val="ListBullet"/>
      </w:pPr>
      <w:r w:rsidRPr="00A9606C">
        <w:t>economic and industry trends</w:t>
      </w:r>
    </w:p>
    <w:p w:rsidR="00000000" w:rsidRPr="00A9606C" w:rsidP="00A9606C">
      <w:pPr>
        <w:pStyle w:val="ListBullet"/>
      </w:pPr>
      <w:r w:rsidRPr="00A9606C">
        <w:t>financial concepts:</w:t>
      </w:r>
    </w:p>
    <w:p w:rsidR="00000000" w:rsidRPr="00A9606C" w:rsidP="00A9606C">
      <w:pPr>
        <w:pStyle w:val="ListBullet2"/>
      </w:pPr>
      <w:r w:rsidRPr="00A9606C">
        <w:t>revenue streams</w:t>
      </w:r>
    </w:p>
    <w:p w:rsidR="00000000" w:rsidRPr="00A9606C" w:rsidP="00A9606C">
      <w:pPr>
        <w:pStyle w:val="ListBullet2"/>
      </w:pPr>
      <w:r w:rsidRPr="00A9606C">
        <w:t>expenses</w:t>
      </w:r>
    </w:p>
    <w:p w:rsidR="00000000" w:rsidRPr="00A9606C" w:rsidP="00A9606C">
      <w:pPr>
        <w:pStyle w:val="ListBullet2"/>
      </w:pPr>
      <w:r w:rsidRPr="00A9606C">
        <w:t>project costings</w:t>
      </w:r>
    </w:p>
    <w:p w:rsidR="00000000" w:rsidRPr="00A9606C" w:rsidP="00A9606C">
      <w:pPr>
        <w:pStyle w:val="ListBullet2"/>
      </w:pPr>
      <w:r w:rsidRPr="00A9606C">
        <w:t>contingency planning</w:t>
      </w:r>
    </w:p>
    <w:p w:rsidR="00000000" w:rsidRPr="00A9606C" w:rsidP="00A9606C">
      <w:pPr>
        <w:pStyle w:val="ListBullet2"/>
      </w:pPr>
      <w:r w:rsidRPr="00A9606C">
        <w:t>business overheads</w:t>
      </w:r>
    </w:p>
    <w:p w:rsidR="00000000" w:rsidRPr="00A9606C" w:rsidP="00A9606C">
      <w:pPr>
        <w:pStyle w:val="ListBullet2"/>
      </w:pPr>
      <w:r w:rsidRPr="00A9606C">
        <w:t>profit</w:t>
      </w:r>
    </w:p>
    <w:p w:rsidR="00000000" w:rsidRPr="00A9606C" w:rsidP="00A9606C">
      <w:pPr>
        <w:pStyle w:val="ListBullet"/>
      </w:pPr>
      <w:r w:rsidRPr="00A9606C">
        <w:t>key government sources for industry information</w:t>
      </w:r>
    </w:p>
    <w:p w:rsidR="00000000" w:rsidRPr="00A9606C" w:rsidP="00A9606C">
      <w:pPr>
        <w:pStyle w:val="ListBullet"/>
      </w:pPr>
      <w:r w:rsidRPr="00A9606C">
        <w:t>Australian Consumer Law</w:t>
      </w:r>
    </w:p>
    <w:p w:rsidR="00000000" w:rsidRPr="00A9606C" w:rsidP="00A9606C">
      <w:pPr>
        <w:pStyle w:val="ListBullet"/>
      </w:pPr>
      <w:r w:rsidRPr="00A9606C">
        <w:t>Competition and Consumer Act</w:t>
      </w:r>
    </w:p>
    <w:p w:rsidR="00000000" w:rsidRPr="00A9606C" w:rsidP="00A9606C">
      <w:pPr>
        <w:pStyle w:val="ListBullet"/>
      </w:pPr>
      <w:r w:rsidRPr="00A9606C">
        <w:t>Australian Taxation Office (ATO) obligations for building and construction businesses:</w:t>
      </w:r>
    </w:p>
    <w:p w:rsidR="00000000" w:rsidRPr="00A9606C" w:rsidP="00A9606C">
      <w:pPr>
        <w:pStyle w:val="ListBullet2"/>
      </w:pPr>
      <w:r w:rsidRPr="00A9606C">
        <w:t>income tax</w:t>
      </w:r>
    </w:p>
    <w:p w:rsidR="00000000" w:rsidRPr="00A9606C" w:rsidP="00A9606C">
      <w:pPr>
        <w:pStyle w:val="ListBullet2"/>
      </w:pPr>
      <w:r w:rsidRPr="00A9606C">
        <w:t>capital gains tax</w:t>
      </w:r>
    </w:p>
    <w:p w:rsidR="00000000" w:rsidRPr="00A9606C" w:rsidP="00A9606C">
      <w:pPr>
        <w:pStyle w:val="ListBullet2"/>
      </w:pPr>
      <w:r w:rsidRPr="00A9606C">
        <w:t>payroll tax</w:t>
      </w:r>
    </w:p>
    <w:p w:rsidR="00000000" w:rsidRPr="00A9606C" w:rsidP="00A9606C">
      <w:pPr>
        <w:pStyle w:val="ListBullet2"/>
      </w:pPr>
      <w:r w:rsidRPr="00A9606C">
        <w:t>fringe benefits tax</w:t>
      </w:r>
    </w:p>
    <w:p w:rsidR="00000000" w:rsidRPr="00A9606C" w:rsidP="00A9606C">
      <w:pPr>
        <w:pStyle w:val="ListBullet2"/>
      </w:pPr>
      <w:r w:rsidRPr="00A9606C">
        <w:t xml:space="preserve">pay as you go (PAYG) instalments </w:t>
      </w:r>
    </w:p>
    <w:p w:rsidR="00000000" w:rsidRPr="00A9606C" w:rsidP="00A9606C">
      <w:pPr>
        <w:pStyle w:val="ListBullet2"/>
      </w:pPr>
      <w:r w:rsidRPr="00A9606C">
        <w:t>goods and services tax (GST)</w:t>
      </w:r>
    </w:p>
    <w:p w:rsidR="00000000" w:rsidRPr="00A9606C" w:rsidP="00A9606C">
      <w:pPr>
        <w:pStyle w:val="ListBullet2"/>
      </w:pPr>
      <w:r w:rsidRPr="00A9606C">
        <w:t>tax differences between a sole trader and a company</w:t>
      </w:r>
    </w:p>
    <w:p w:rsidR="00000000" w:rsidRPr="00A9606C" w:rsidP="00A9606C">
      <w:pPr>
        <w:pStyle w:val="ListBullet2"/>
      </w:pPr>
      <w:r w:rsidRPr="00A9606C">
        <w:t>registering for taxes</w:t>
      </w:r>
    </w:p>
    <w:p w:rsidR="00000000" w:rsidRPr="00A9606C" w:rsidP="00A9606C">
      <w:pPr>
        <w:pStyle w:val="ListBullet2"/>
      </w:pPr>
      <w:r w:rsidRPr="00A9606C">
        <w:t>methods of paying taxes</w:t>
      </w:r>
    </w:p>
    <w:p w:rsidR="00000000" w:rsidRPr="00A9606C" w:rsidP="00A9606C">
      <w:pPr>
        <w:pStyle w:val="ListBullet2"/>
      </w:pPr>
      <w:r w:rsidRPr="00A9606C">
        <w:t>maintaining business and taxation records</w:t>
      </w:r>
    </w:p>
    <w:p w:rsidR="00000000" w:rsidRPr="00A9606C" w:rsidP="00A9606C">
      <w:pPr>
        <w:pStyle w:val="ListBullet"/>
      </w:pPr>
      <w:r w:rsidRPr="00A9606C">
        <w:t>accounting systems:</w:t>
      </w:r>
    </w:p>
    <w:p w:rsidR="00000000" w:rsidRPr="00A9606C" w:rsidP="00A9606C">
      <w:pPr>
        <w:pStyle w:val="ListBullet2"/>
      </w:pPr>
      <w:r w:rsidRPr="00A9606C">
        <w:t>types of invoices</w:t>
      </w:r>
    </w:p>
    <w:p w:rsidR="00000000" w:rsidRPr="00A9606C" w:rsidP="00A9606C">
      <w:pPr>
        <w:pStyle w:val="ListBullet2"/>
      </w:pPr>
      <w:r w:rsidRPr="00A9606C">
        <w:t>invoicing and collecting payments</w:t>
      </w:r>
    </w:p>
    <w:p w:rsidR="00000000" w:rsidRPr="00A9606C" w:rsidP="00A9606C">
      <w:pPr>
        <w:pStyle w:val="ListBullet2"/>
      </w:pPr>
      <w:r w:rsidRPr="00A9606C">
        <w:t>budgeting and</w:t>
      </w:r>
      <w:r w:rsidRPr="00A9606C">
        <w:t xml:space="preserve"> reporting</w:t>
      </w:r>
    </w:p>
    <w:p w:rsidR="00000000" w:rsidRPr="00A9606C" w:rsidP="00A9606C">
      <w:pPr>
        <w:pStyle w:val="ListBullet2"/>
      </w:pPr>
      <w:r w:rsidRPr="00A9606C">
        <w:t>end of financial year</w:t>
      </w:r>
    </w:p>
    <w:p w:rsidR="00000000" w:rsidRPr="00A9606C" w:rsidP="00A9606C">
      <w:pPr>
        <w:pStyle w:val="ListBullet"/>
      </w:pPr>
      <w:r w:rsidRPr="00A9606C">
        <w:t>payment methods:</w:t>
      </w:r>
    </w:p>
    <w:p w:rsidR="00000000" w:rsidRPr="00A9606C" w:rsidP="00A9606C">
      <w:pPr>
        <w:pStyle w:val="ListBullet2"/>
      </w:pPr>
      <w:r w:rsidRPr="00A9606C">
        <w:t>credit and debit card</w:t>
      </w:r>
    </w:p>
    <w:p w:rsidR="00000000" w:rsidRPr="00A9606C" w:rsidP="00A9606C">
      <w:pPr>
        <w:pStyle w:val="ListBullet2"/>
      </w:pPr>
      <w:r w:rsidRPr="00A9606C">
        <w:t>direct debit</w:t>
      </w:r>
    </w:p>
    <w:p w:rsidR="00000000" w:rsidRPr="00A9606C" w:rsidP="00A9606C">
      <w:pPr>
        <w:pStyle w:val="ListBullet2"/>
      </w:pPr>
      <w:r w:rsidRPr="00A9606C">
        <w:t>cheque</w:t>
      </w:r>
    </w:p>
    <w:p w:rsidR="00000000" w:rsidRPr="00A9606C" w:rsidP="00A9606C">
      <w:pPr>
        <w:pStyle w:val="ListBullet2"/>
      </w:pPr>
      <w:r w:rsidRPr="00A9606C">
        <w:t>cash</w:t>
      </w:r>
    </w:p>
    <w:p w:rsidR="00000000" w:rsidRPr="00A9606C" w:rsidP="00A9606C">
      <w:pPr>
        <w:pStyle w:val="ListBullet"/>
      </w:pPr>
      <w:r w:rsidRPr="00A9606C">
        <w:t>analysing business finances:</w:t>
      </w:r>
    </w:p>
    <w:p w:rsidR="00000000" w:rsidRPr="00A9606C" w:rsidP="00A9606C">
      <w:pPr>
        <w:pStyle w:val="ListBullet2"/>
      </w:pPr>
      <w:r w:rsidRPr="00A9606C">
        <w:t>financial health check</w:t>
      </w:r>
    </w:p>
    <w:p w:rsidR="00000000" w:rsidRPr="00A9606C" w:rsidP="00A9606C">
      <w:pPr>
        <w:pStyle w:val="ListBullet2"/>
      </w:pPr>
      <w:r w:rsidRPr="00A9606C">
        <w:t>sales calculators</w:t>
      </w:r>
    </w:p>
    <w:p w:rsidR="00000000" w:rsidRPr="00A9606C" w:rsidP="00A9606C">
      <w:pPr>
        <w:pStyle w:val="ListBullet2"/>
      </w:pPr>
      <w:r w:rsidRPr="00A9606C">
        <w:t>profit ratios</w:t>
      </w:r>
    </w:p>
    <w:p w:rsidR="00000000" w:rsidRPr="00A9606C" w:rsidP="00A9606C">
      <w:pPr>
        <w:pStyle w:val="ListBullet2"/>
      </w:pPr>
      <w:r w:rsidRPr="00A9606C">
        <w:t>liquidity and finance ratios</w:t>
      </w:r>
    </w:p>
    <w:p w:rsidR="00000000" w:rsidRPr="00A9606C" w:rsidP="00A9606C">
      <w:pPr>
        <w:pStyle w:val="ListBullet"/>
      </w:pPr>
      <w:r w:rsidRPr="00A9606C">
        <w:t>options to improve business financial position:</w:t>
      </w:r>
    </w:p>
    <w:p w:rsidR="00000000" w:rsidRPr="00A9606C" w:rsidP="00A9606C">
      <w:pPr>
        <w:pStyle w:val="ListBullet2"/>
      </w:pPr>
      <w:r w:rsidRPr="00A9606C">
        <w:t>recover outstanding debt</w:t>
      </w:r>
    </w:p>
    <w:p w:rsidR="00000000" w:rsidRPr="00A9606C" w:rsidP="00A9606C">
      <w:pPr>
        <w:pStyle w:val="ListBullet2"/>
      </w:pPr>
      <w:r w:rsidRPr="00A9606C">
        <w:t>reduce or rearrange expenses</w:t>
      </w:r>
    </w:p>
    <w:p w:rsidR="00000000" w:rsidRPr="00A9606C" w:rsidP="00A9606C">
      <w:pPr>
        <w:pStyle w:val="ListBullet2"/>
      </w:pPr>
      <w:r w:rsidRPr="00A9606C">
        <w:t>sell assets</w:t>
      </w:r>
    </w:p>
    <w:p w:rsidR="00000000" w:rsidRPr="00A9606C" w:rsidP="00A9606C">
      <w:pPr>
        <w:pStyle w:val="ListBullet2"/>
      </w:pPr>
      <w:r w:rsidRPr="00A9606C">
        <w:t>increase prices</w:t>
      </w:r>
    </w:p>
    <w:p w:rsidR="00000000" w:rsidRPr="00A9606C" w:rsidP="00A9606C">
      <w:pPr>
        <w:pStyle w:val="ListBullet2"/>
      </w:pPr>
      <w:r w:rsidRPr="00A9606C">
        <w:t>consolidate debt</w:t>
      </w:r>
    </w:p>
    <w:p w:rsidR="00000000" w:rsidRPr="00A9606C" w:rsidP="00A9606C">
      <w:pPr>
        <w:pStyle w:val="ListBullet2"/>
      </w:pPr>
      <w:r w:rsidRPr="00A9606C">
        <w:t>track and improve cash flow</w:t>
      </w:r>
    </w:p>
    <w:p w:rsidR="00000000" w:rsidRPr="00A9606C" w:rsidP="00A9606C">
      <w:pPr>
        <w:pStyle w:val="ListBullet"/>
      </w:pPr>
      <w:r w:rsidRPr="00A9606C">
        <w:t>insurance policies:</w:t>
      </w:r>
    </w:p>
    <w:p w:rsidR="00000000" w:rsidRPr="00A9606C" w:rsidP="00A9606C">
      <w:pPr>
        <w:pStyle w:val="ListBullet2"/>
      </w:pPr>
      <w:r w:rsidRPr="00A9606C">
        <w:t>public liability</w:t>
      </w:r>
    </w:p>
    <w:p w:rsidR="00000000" w:rsidRPr="00A9606C" w:rsidP="00A9606C">
      <w:pPr>
        <w:pStyle w:val="ListBullet2"/>
      </w:pPr>
      <w:r w:rsidRPr="00A9606C">
        <w:t>builders’ risk</w:t>
      </w:r>
    </w:p>
    <w:p w:rsidR="00000000" w:rsidRPr="00A9606C" w:rsidP="00A9606C">
      <w:pPr>
        <w:pStyle w:val="ListBullet2"/>
      </w:pPr>
      <w:r w:rsidRPr="00A9606C">
        <w:t>income loss</w:t>
      </w:r>
    </w:p>
    <w:p w:rsidR="00000000" w:rsidRPr="00A9606C" w:rsidP="00A9606C">
      <w:pPr>
        <w:pStyle w:val="ListBullet2"/>
      </w:pPr>
      <w:r w:rsidRPr="00A9606C">
        <w:t>workers compensation</w:t>
      </w:r>
    </w:p>
    <w:p w:rsidR="00000000" w:rsidRPr="00A9606C" w:rsidP="00A9606C">
      <w:pPr>
        <w:pStyle w:val="ListBullet2"/>
      </w:pPr>
      <w:r w:rsidRPr="00A9606C">
        <w:t xml:space="preserve">commercial vehicles </w:t>
      </w:r>
    </w:p>
    <w:p w:rsidR="00000000" w:rsidRPr="00A9606C" w:rsidP="00A9606C">
      <w:pPr>
        <w:pStyle w:val="ListBullet"/>
      </w:pPr>
      <w:r w:rsidRPr="00A9606C">
        <w:t xml:space="preserve">contractual financial arrangements: </w:t>
      </w:r>
    </w:p>
    <w:p w:rsidR="00000000" w:rsidRPr="00A9606C" w:rsidP="00A9606C">
      <w:pPr>
        <w:pStyle w:val="ListBullet2"/>
      </w:pPr>
      <w:r w:rsidRPr="00A9606C">
        <w:t>payment subject to quality of work</w:t>
      </w:r>
    </w:p>
    <w:p w:rsidR="00000000" w:rsidRPr="00A9606C" w:rsidP="00A9606C">
      <w:pPr>
        <w:pStyle w:val="ListBullet2"/>
      </w:pPr>
      <w:r w:rsidRPr="00A9606C">
        <w:t>product quality and compliance</w:t>
      </w:r>
    </w:p>
    <w:p w:rsidR="00000000" w:rsidRPr="00A9606C" w:rsidP="00A9606C">
      <w:pPr>
        <w:pStyle w:val="ListBullet2"/>
      </w:pPr>
      <w:r w:rsidRPr="00A9606C">
        <w:t>terms and conditions of payment.</w:t>
      </w:r>
    </w:p>
    <w:p w:rsidR="00000000" w:rsidRPr="00A9606C" w:rsidP="00A9606C">
      <w:pPr>
        <w:pStyle w:val="AllowPageBreak"/>
      </w:pPr>
    </w:p>
    <w:p w:rsidR="00000000" w:rsidRPr="00A9606C" w:rsidP="00A9606C">
      <w:pPr>
        <w:pStyle w:val="Heading1"/>
      </w:pPr>
      <w:bookmarkStart w:id="12" w:name="O_1293893"/>
      <w:bookmarkEnd w:id="12"/>
      <w:r w:rsidRPr="00A9606C">
        <w:t>Assessment Conditions</w:t>
      </w:r>
    </w:p>
    <w:p w:rsidR="00000000" w:rsidRPr="00A9606C" w:rsidP="00444E02">
      <w:pPr>
        <w:pStyle w:val="BodyText"/>
      </w:pPr>
      <w:r w:rsidRPr="00A9606C">
        <w:t xml:space="preserve">Assessors must meet the requirements for assessors contained in the Standards for Registered Training Organisations. </w:t>
      </w:r>
    </w:p>
    <w:p w:rsidR="00000000" w:rsidRPr="00A9606C" w:rsidP="00444E02">
      <w:pPr>
        <w:pStyle w:val="BodyText"/>
      </w:pPr>
      <w:r w:rsidRPr="00A9606C">
        <w:t xml:space="preserve">Assessment can be undertaken in the workplace or in a simulated workplace environment. </w:t>
      </w:r>
    </w:p>
    <w:p w:rsidR="00000000" w:rsidRPr="00A9606C" w:rsidP="00444E02">
      <w:pPr>
        <w:pStyle w:val="BodyText"/>
      </w:pPr>
      <w:r w:rsidRPr="00A9606C">
        <w:t xml:space="preserve">A simulated environment is one that realistically </w:t>
      </w:r>
      <w:r w:rsidRPr="00A9606C">
        <w:t xml:space="preserve">replicates workplace conditions, materials and equipment, interactions with others and workplace irregularities, and which meets industry standards for safety and environmental practices.  </w:t>
      </w:r>
    </w:p>
    <w:p w:rsidR="00000000" w:rsidRPr="00A9606C" w:rsidP="00444E02">
      <w:pPr>
        <w:pStyle w:val="BodyText"/>
      </w:pPr>
      <w:r w:rsidRPr="00A9606C">
        <w:t>Candidates must have access to:</w:t>
      </w:r>
    </w:p>
    <w:p w:rsidR="00000000" w:rsidRPr="00A9606C" w:rsidP="00A9606C">
      <w:pPr>
        <w:pStyle w:val="ListBullet"/>
      </w:pPr>
      <w:r w:rsidRPr="00A9606C">
        <w:t>financial documentation and other</w:t>
      </w:r>
      <w:r w:rsidRPr="00A9606C">
        <w:t xml:space="preserve"> quality documentation to undertake the performance criteria and assessment requirements</w:t>
      </w:r>
    </w:p>
    <w:p w:rsidR="00000000" w:rsidRPr="00A9606C" w:rsidP="00A9606C">
      <w:pPr>
        <w:pStyle w:val="ListBullet"/>
      </w:pPr>
      <w:r w:rsidRPr="00A9606C">
        <w:t>digital devices, applications and software to monitor, manage and record business finances</w:t>
      </w:r>
    </w:p>
    <w:p w:rsidR="00000000" w:rsidRPr="00A9606C" w:rsidP="00A9606C">
      <w:pPr>
        <w:pStyle w:val="ListBullet"/>
      </w:pPr>
      <w:r w:rsidRPr="00A9606C">
        <w:t>government business legislation.</w:t>
      </w:r>
    </w:p>
    <w:p w:rsidR="00000000" w:rsidRPr="00A9606C" w:rsidP="00A9606C">
      <w:pPr>
        <w:pStyle w:val="AllowPageBreak"/>
      </w:pPr>
    </w:p>
    <w:p w:rsidR="00000000" w:rsidRPr="00A9606C" w:rsidP="00A9606C">
      <w:pPr>
        <w:pStyle w:val="Heading1"/>
      </w:pPr>
      <w:bookmarkStart w:id="13" w:name="O_1293906"/>
      <w:bookmarkEnd w:id="13"/>
      <w:r w:rsidRPr="00A9606C">
        <w:t>Links</w:t>
      </w:r>
    </w:p>
    <w:p w:rsidR="00000000" w:rsidRPr="00A9606C" w:rsidP="00444E02">
      <w:pPr>
        <w:pStyle w:val="BodyText"/>
      </w:pPr>
      <w:r w:rsidRPr="00A9606C">
        <w:t xml:space="preserve">Companion volumes </w:t>
      </w:r>
      <w:r w:rsidRPr="00A9606C">
        <w:t xml:space="preserve">to this training package are available at the VETNet website - </w:t>
      </w:r>
      <w:r>
        <w:fldChar w:fldCharType="begin"/>
      </w:r>
      <w:r>
        <w:instrText xml:space="preserve"> HYPERLINK "https://vetnet.gov.au/Pages/TrainingDocs.aspx?q=7e15fa6a-68b8-4097-b099-030a5569b1ad" </w:instrText>
      </w:r>
      <w:r>
        <w:fldChar w:fldCharType="separate"/>
      </w:r>
      <w:r w:rsidRPr="005A4D84">
        <w:rPr>
          <w:rStyle w:val="Hyperlink"/>
        </w:rPr>
        <w:t>https://vetnet.gov.au/Pages/TrainingDocs.aspx?q=7e15fa6a-68b8-4097-b099-030a5569b1ad</w:t>
      </w:r>
      <w:r>
        <w:fldChar w:fldCharType="end"/>
      </w:r>
    </w:p>
    <w:p w:rsidR="00000000" w:rsidRPr="00A9606C" w:rsidP="00A9606C"/>
    <w:sectPr w:rsidSect="00A9606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0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06C" w:rsidRPr="00444E02" w:rsidP="00444E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0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E02" w:rsidP="00A960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44E02" w:rsidP="00A9606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444E02" w:rsidP="00A9606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06C" w:rsidP="00A9606C">
    <w:pPr>
      <w:pStyle w:val="Footer"/>
      <w:framePr w:wrap="around"/>
    </w:pPr>
    <w:r>
      <w:fldChar w:fldCharType="begin"/>
    </w:r>
    <w:r>
      <w:instrText xml:space="preserve"> DOCPROPERTY  Subject  \* MERGEFORMAT </w:instrText>
    </w:r>
    <w:r>
      <w:fldChar w:fldCharType="separate"/>
    </w:r>
    <w:r w:rsidR="00444E02">
      <w:t>Approved</w:t>
    </w:r>
    <w:r w:rsidR="00444E02">
      <w:fldChar w:fldCharType="end"/>
    </w:r>
    <w:r>
      <w:tab/>
      <w:t xml:space="preserve">Page </w:t>
    </w:r>
    <w:r>
      <w:fldChar w:fldCharType="begin"/>
    </w:r>
    <w:r>
      <w:instrText xml:space="preserve"> PAGE  \* Arabic  \* MERGEFORMAT </w:instrText>
    </w:r>
    <w:r>
      <w:fldChar w:fldCharType="separate"/>
    </w:r>
    <w:r w:rsidR="00444E0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44E02">
      <w:rPr>
        <w:noProof/>
      </w:rPr>
      <w:t>5</w:t>
    </w:r>
    <w:r>
      <w:rPr>
        <w:noProof/>
      </w:rPr>
      <w:fldChar w:fldCharType="end"/>
    </w:r>
  </w:p>
  <w:p w:rsidR="00A9606C" w:rsidP="00A9606C">
    <w:pPr>
      <w:pStyle w:val="Footer"/>
      <w:framePr w:wrap="around"/>
    </w:pPr>
    <w:r>
      <w:t xml:space="preserve">© Commonwealth of Australia, </w:t>
    </w:r>
    <w:r>
      <w:fldChar w:fldCharType="begin"/>
    </w:r>
    <w:r>
      <w:instrText xml:space="preserve"> DATE  \@ "yyyy"  \* MERGEFORMAT </w:instrText>
    </w:r>
    <w:r>
      <w:fldChar w:fldCharType="separate"/>
    </w:r>
    <w:r w:rsidR="00444E02">
      <w:rPr>
        <w:noProof/>
      </w:rPr>
      <w:t>2025</w:t>
    </w:r>
    <w:r>
      <w:fldChar w:fldCharType="end"/>
    </w:r>
    <w:r>
      <w:tab/>
    </w:r>
    <w:r>
      <w:fldChar w:fldCharType="begin"/>
    </w:r>
    <w:r>
      <w:instrText xml:space="preserve"> DOCPROPERTY  Author  \* MERGEFORMAT </w:instrText>
    </w:r>
    <w:r>
      <w:fldChar w:fldCharType="separate"/>
    </w:r>
    <w:r w:rsidR="00444E02">
      <w:t>BuildSkills Australia</w:t>
    </w:r>
    <w:r w:rsidR="00444E02">
      <w:fldChar w:fldCharType="end"/>
    </w:r>
  </w:p>
  <w:p w:rsidR="00A9606C" w:rsidP="00A960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0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E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606C" w:rsidRPr="00444E02" w:rsidP="00444E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0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E02" w:rsidRPr="002D2AF8" w:rsidP="00A9606C">
    <w:pPr>
      <w:pStyle w:val="Header"/>
      <w:framePr w:wrap="around"/>
    </w:pPr>
    <w:r>
      <w:fldChar w:fldCharType="begin"/>
    </w:r>
    <w:r>
      <w:instrText xml:space="preserve"> TITLE   \* MERGEFORMAT </w:instrText>
    </w:r>
    <w:r>
      <w:fldChar w:fldCharType="separate"/>
    </w:r>
    <w:r>
      <w:t>CPCCBC5019 Manage building and construction business finances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44E02" w:rsidP="00A9606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06C" w:rsidRPr="002D2AF8" w:rsidP="00A9606C">
    <w:pPr>
      <w:pStyle w:val="Header"/>
      <w:framePr w:wrap="around"/>
    </w:pPr>
    <w:r>
      <w:fldChar w:fldCharType="begin"/>
    </w:r>
    <w:r>
      <w:instrText xml:space="preserve"> TITLE   \* MERGEFORMAT </w:instrText>
    </w:r>
    <w:r>
      <w:fldChar w:fldCharType="separate"/>
    </w:r>
    <w:r w:rsidR="00444E02">
      <w:t>CPCCBC5019 Manage building and construction business finances</w:t>
    </w:r>
    <w:r w:rsidR="00444E02">
      <w:fldChar w:fldCharType="end"/>
    </w:r>
    <w:r>
      <w:tab/>
      <w:t xml:space="preserve">Date this document was generated: </w:t>
    </w:r>
    <w:r>
      <w:fldChar w:fldCharType="begin"/>
    </w:r>
    <w:r>
      <w:instrText xml:space="preserve"> CREATEDATE  \@ "d MMMM yyyy"  \* MERGEFORMAT </w:instrText>
    </w:r>
    <w:r>
      <w:fldChar w:fldCharType="separate"/>
    </w:r>
    <w:r w:rsidR="00444E02">
      <w:rPr>
        <w:noProof/>
      </w:rPr>
      <w:t>1 March 2025</w:t>
    </w:r>
    <w:r>
      <w:fldChar w:fldCharType="end"/>
    </w:r>
  </w:p>
  <w:p w:rsidR="00A9606C" w:rsidP="00A960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5007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006D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80D2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60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606C"/>
    <w:pPr>
      <w:spacing w:before="360" w:after="60"/>
      <w:outlineLvl w:val="0"/>
    </w:pPr>
    <w:rPr>
      <w:sz w:val="32"/>
    </w:rPr>
  </w:style>
  <w:style w:type="paragraph" w:styleId="Heading2">
    <w:name w:val="heading 2"/>
    <w:basedOn w:val="HeadingBase"/>
    <w:next w:val="BodyText"/>
    <w:link w:val="Heading2Char"/>
    <w:qFormat/>
    <w:rsid w:val="00A9606C"/>
    <w:pPr>
      <w:keepLines/>
      <w:spacing w:before="240" w:after="120"/>
      <w:outlineLvl w:val="1"/>
    </w:pPr>
    <w:rPr>
      <w:sz w:val="28"/>
      <w:szCs w:val="40"/>
    </w:rPr>
  </w:style>
  <w:style w:type="paragraph" w:styleId="Heading3">
    <w:name w:val="heading 3"/>
    <w:basedOn w:val="HeadingBase"/>
    <w:next w:val="BodyText"/>
    <w:link w:val="Heading3Char"/>
    <w:qFormat/>
    <w:rsid w:val="00A9606C"/>
    <w:pPr>
      <w:spacing w:before="180" w:after="120"/>
      <w:outlineLvl w:val="2"/>
    </w:pPr>
    <w:rPr>
      <w:spacing w:val="-10"/>
      <w:kern w:val="32"/>
    </w:rPr>
  </w:style>
  <w:style w:type="paragraph" w:styleId="Heading4">
    <w:name w:val="heading 4"/>
    <w:basedOn w:val="HeadingBase"/>
    <w:next w:val="BodyText"/>
    <w:link w:val="Heading4Char"/>
    <w:qFormat/>
    <w:rsid w:val="00A9606C"/>
    <w:pPr>
      <w:spacing w:before="160" w:after="120"/>
      <w:outlineLvl w:val="3"/>
    </w:pPr>
    <w:rPr>
      <w:sz w:val="22"/>
    </w:rPr>
  </w:style>
  <w:style w:type="paragraph" w:styleId="Heading5">
    <w:name w:val="heading 5"/>
    <w:basedOn w:val="HeadingBase"/>
    <w:next w:val="Normal"/>
    <w:link w:val="Heading5Char"/>
    <w:qFormat/>
    <w:rsid w:val="00A9606C"/>
    <w:pPr>
      <w:spacing w:before="80"/>
      <w:outlineLvl w:val="4"/>
    </w:pPr>
    <w:rPr>
      <w:color w:val="918585"/>
      <w:sz w:val="20"/>
    </w:rPr>
  </w:style>
  <w:style w:type="paragraph" w:styleId="Heading6">
    <w:name w:val="heading 6"/>
    <w:basedOn w:val="HeadingBase"/>
    <w:next w:val="Normal"/>
    <w:link w:val="Heading6Char"/>
    <w:qFormat/>
    <w:rsid w:val="00A9606C"/>
    <w:pPr>
      <w:spacing w:before="60"/>
      <w:outlineLvl w:val="5"/>
    </w:pPr>
    <w:rPr>
      <w:color w:val="918585"/>
      <w:sz w:val="20"/>
    </w:rPr>
  </w:style>
  <w:style w:type="paragraph" w:styleId="Heading7">
    <w:name w:val="heading 7"/>
    <w:basedOn w:val="Normal"/>
    <w:next w:val="Normal"/>
    <w:link w:val="Heading7Char"/>
    <w:qFormat/>
    <w:rsid w:val="00A9606C"/>
    <w:pPr>
      <w:ind w:left="720"/>
      <w:outlineLvl w:val="6"/>
    </w:pPr>
    <w:rPr>
      <w:i/>
    </w:rPr>
  </w:style>
  <w:style w:type="paragraph" w:styleId="Heading8">
    <w:name w:val="heading 8"/>
    <w:basedOn w:val="Normal"/>
    <w:next w:val="Normal"/>
    <w:link w:val="Heading8Char"/>
    <w:qFormat/>
    <w:rsid w:val="00A9606C"/>
    <w:pPr>
      <w:ind w:left="720"/>
      <w:outlineLvl w:val="7"/>
    </w:pPr>
    <w:rPr>
      <w:i/>
    </w:rPr>
  </w:style>
  <w:style w:type="paragraph" w:styleId="Heading9">
    <w:name w:val="heading 9"/>
    <w:basedOn w:val="Normal"/>
    <w:next w:val="Normal"/>
    <w:link w:val="Heading9Char"/>
    <w:qFormat/>
    <w:rsid w:val="00A9606C"/>
    <w:pPr>
      <w:ind w:left="720"/>
      <w:outlineLvl w:val="8"/>
    </w:pPr>
    <w:rPr>
      <w:i/>
    </w:rPr>
  </w:style>
  <w:style w:type="character" w:default="1" w:styleId="DefaultParagraphFont">
    <w:name w:val="Default Paragraph Font"/>
    <w:uiPriority w:val="1"/>
    <w:unhideWhenUsed/>
    <w:rsid w:val="00A960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606C"/>
  </w:style>
  <w:style w:type="character" w:customStyle="1" w:styleId="Heading1Char">
    <w:name w:val="Heading 1 Char"/>
    <w:basedOn w:val="DefaultParagraphFont"/>
    <w:link w:val="Heading1"/>
    <w:rsid w:val="00A9606C"/>
    <w:rPr>
      <w:rFonts w:ascii="Times New Roman" w:eastAsia="Times New Roman" w:hAnsi="Times New Roman" w:cs="Times New Roman"/>
      <w:b/>
      <w:sz w:val="32"/>
      <w:szCs w:val="20"/>
      <w:lang w:eastAsia="en-US"/>
    </w:rPr>
  </w:style>
  <w:style w:type="paragraph" w:styleId="BodyText">
    <w:name w:val="Body Text"/>
    <w:basedOn w:val="Normal"/>
    <w:link w:val="BodyTextChar"/>
    <w:rsid w:val="00A960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606C"/>
    <w:rPr>
      <w:rFonts w:ascii="Times New Roman" w:eastAsia="Times New Roman" w:hAnsi="Times New Roman" w:cs="Times New Roman"/>
      <w:sz w:val="24"/>
      <w:lang w:eastAsia="en-US"/>
    </w:rPr>
  </w:style>
  <w:style w:type="paragraph" w:styleId="ListBullet">
    <w:name w:val="List Bullet"/>
    <w:basedOn w:val="List"/>
    <w:rsid w:val="00A9606C"/>
    <w:pPr>
      <w:numPr>
        <w:numId w:val="12"/>
      </w:numPr>
      <w:tabs>
        <w:tab w:val="clear" w:pos="340"/>
      </w:tabs>
      <w:spacing w:before="40" w:after="40"/>
    </w:pPr>
  </w:style>
  <w:style w:type="paragraph" w:styleId="ListBullet2">
    <w:name w:val="List Bullet 2"/>
    <w:basedOn w:val="List2"/>
    <w:rsid w:val="00A9606C"/>
    <w:pPr>
      <w:numPr>
        <w:numId w:val="13"/>
      </w:numPr>
      <w:tabs>
        <w:tab w:val="clear" w:pos="680"/>
      </w:tabs>
    </w:pPr>
  </w:style>
  <w:style w:type="character" w:styleId="Emphasis">
    <w:name w:val="Emphasis"/>
    <w:basedOn w:val="DefaultParagraphFont"/>
    <w:qFormat/>
    <w:rsid w:val="00A9606C"/>
    <w:rPr>
      <w:i/>
    </w:rPr>
  </w:style>
  <w:style w:type="paragraph" w:customStyle="1" w:styleId="SuperHeading">
    <w:name w:val="SuperHeading"/>
    <w:basedOn w:val="Normal"/>
    <w:rsid w:val="00A9606C"/>
    <w:pPr>
      <w:spacing w:before="240" w:after="120"/>
      <w:outlineLvl w:val="0"/>
    </w:pPr>
    <w:rPr>
      <w:rFonts w:ascii="Times New Roman" w:hAnsi="Times New Roman"/>
      <w:b/>
      <w:sz w:val="32"/>
    </w:rPr>
  </w:style>
  <w:style w:type="paragraph" w:customStyle="1" w:styleId="AllowPageBreak">
    <w:name w:val="AllowPageBreak"/>
    <w:rsid w:val="00A960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60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60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60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60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60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60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60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606C"/>
    <w:rPr>
      <w:rFonts w:ascii="Courier New" w:eastAsia="Times New Roman" w:hAnsi="Courier New" w:cs="Times New Roman"/>
      <w:i/>
      <w:szCs w:val="20"/>
      <w:lang w:eastAsia="en-US"/>
    </w:rPr>
  </w:style>
  <w:style w:type="paragraph" w:customStyle="1" w:styleId="HeadingBase">
    <w:name w:val="Heading Base"/>
    <w:rsid w:val="00A960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606C"/>
    <w:pPr>
      <w:tabs>
        <w:tab w:val="right" w:leader="dot" w:pos="9072"/>
      </w:tabs>
      <w:ind w:left="567"/>
    </w:pPr>
    <w:rPr>
      <w:szCs w:val="22"/>
    </w:rPr>
  </w:style>
  <w:style w:type="paragraph" w:customStyle="1" w:styleId="TOCBase">
    <w:name w:val="TOC Base"/>
    <w:rsid w:val="00A960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606C"/>
    <w:pPr>
      <w:tabs>
        <w:tab w:val="right" w:leader="dot" w:pos="9072"/>
      </w:tabs>
      <w:spacing w:before="40" w:after="40"/>
      <w:ind w:left="284"/>
    </w:pPr>
    <w:rPr>
      <w:rFonts w:ascii="Times New Roman" w:hAnsi="Times New Roman"/>
    </w:rPr>
  </w:style>
  <w:style w:type="paragraph" w:styleId="TOC1">
    <w:name w:val="toc 1"/>
    <w:basedOn w:val="TOCBase"/>
    <w:next w:val="Normal"/>
    <w:rsid w:val="00A960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60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606C"/>
    <w:rPr>
      <w:rFonts w:ascii="Times New Roman" w:eastAsia="Times New Roman" w:hAnsi="Times New Roman" w:cs="Times New Roman"/>
      <w:sz w:val="16"/>
      <w:lang w:eastAsia="en-US"/>
    </w:rPr>
  </w:style>
  <w:style w:type="paragraph" w:styleId="Title">
    <w:name w:val="Title"/>
    <w:basedOn w:val="HeadingBase"/>
    <w:link w:val="TitleChar"/>
    <w:qFormat/>
    <w:rsid w:val="00A9606C"/>
    <w:pPr>
      <w:spacing w:before="5040"/>
      <w:jc w:val="center"/>
    </w:pPr>
    <w:rPr>
      <w:sz w:val="48"/>
      <w:szCs w:val="72"/>
      <w:lang w:val="en-US"/>
    </w:rPr>
  </w:style>
  <w:style w:type="character" w:customStyle="1" w:styleId="TitleChar">
    <w:name w:val="Title Char"/>
    <w:basedOn w:val="DefaultParagraphFont"/>
    <w:link w:val="Title"/>
    <w:rsid w:val="00A960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606C"/>
    <w:pPr>
      <w:tabs>
        <w:tab w:val="left" w:pos="3600"/>
        <w:tab w:val="left" w:pos="3958"/>
      </w:tabs>
    </w:pPr>
  </w:style>
  <w:style w:type="paragraph" w:styleId="List">
    <w:name w:val="List"/>
    <w:basedOn w:val="BodyText"/>
    <w:next w:val="BodyText"/>
    <w:rsid w:val="00A9606C"/>
    <w:pPr>
      <w:tabs>
        <w:tab w:val="left" w:pos="340"/>
      </w:tabs>
      <w:spacing w:before="60" w:after="60"/>
      <w:ind w:left="340" w:hanging="340"/>
    </w:pPr>
  </w:style>
  <w:style w:type="paragraph" w:customStyle="1" w:styleId="Note">
    <w:name w:val="Note"/>
    <w:basedOn w:val="BodyText"/>
    <w:rsid w:val="00A9606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9606C"/>
    <w:rPr>
      <w:b/>
      <w:spacing w:val="0"/>
    </w:rPr>
  </w:style>
  <w:style w:type="paragraph" w:customStyle="1" w:styleId="SuperTitle">
    <w:name w:val="SuperTitle"/>
    <w:basedOn w:val="Title"/>
    <w:rsid w:val="00A9606C"/>
    <w:pPr>
      <w:framePr w:wrap="auto" w:hAnchor="text" w:y="6049"/>
    </w:pPr>
    <w:rPr>
      <w:color w:val="000000"/>
      <w:sz w:val="40"/>
    </w:rPr>
  </w:style>
  <w:style w:type="paragraph" w:customStyle="1" w:styleId="TOCTitle">
    <w:name w:val="TOCTitle"/>
    <w:basedOn w:val="Heading1"/>
    <w:rsid w:val="00A9606C"/>
    <w:pPr>
      <w:spacing w:after="240"/>
      <w:jc w:val="center"/>
      <w:outlineLvl w:val="9"/>
    </w:pPr>
    <w:rPr>
      <w:caps/>
    </w:rPr>
  </w:style>
  <w:style w:type="paragraph" w:customStyle="1" w:styleId="Version">
    <w:name w:val="Version"/>
    <w:rsid w:val="00A960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606C"/>
    <w:pPr>
      <w:keepNext w:val="0"/>
      <w:tabs>
        <w:tab w:val="right" w:pos="4176"/>
      </w:tabs>
      <w:ind w:left="198" w:hanging="198"/>
    </w:pPr>
    <w:rPr>
      <w:rFonts w:ascii="Garamond" w:hAnsi="Garamond"/>
    </w:rPr>
  </w:style>
  <w:style w:type="paragraph" w:styleId="IndexHeading">
    <w:name w:val="index heading"/>
    <w:basedOn w:val="Normal"/>
    <w:next w:val="Index1"/>
    <w:semiHidden/>
    <w:rsid w:val="00A9606C"/>
    <w:pPr>
      <w:spacing w:before="120" w:after="120"/>
    </w:pPr>
    <w:rPr>
      <w:rFonts w:ascii="Arial" w:hAnsi="Arial"/>
      <w:b/>
      <w:color w:val="918585"/>
      <w:sz w:val="24"/>
    </w:rPr>
  </w:style>
  <w:style w:type="paragraph" w:styleId="Header">
    <w:name w:val="header"/>
    <w:basedOn w:val="Normal"/>
    <w:link w:val="HeaderChar"/>
    <w:rsid w:val="00A960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606C"/>
    <w:rPr>
      <w:rFonts w:ascii="Times New Roman" w:eastAsia="Times New Roman" w:hAnsi="Times New Roman" w:cs="Times New Roman"/>
      <w:sz w:val="16"/>
      <w:szCs w:val="20"/>
      <w:lang w:val="en-GB" w:eastAsia="en-US"/>
    </w:rPr>
  </w:style>
  <w:style w:type="paragraph" w:customStyle="1" w:styleId="Chapter">
    <w:name w:val="Chapter"/>
    <w:basedOn w:val="Normal"/>
    <w:rsid w:val="00A9606C"/>
    <w:pPr>
      <w:spacing w:before="240"/>
    </w:pPr>
    <w:rPr>
      <w:rFonts w:ascii="Times New Roman" w:hAnsi="Times New Roman"/>
      <w:smallCaps/>
      <w:spacing w:val="80"/>
      <w:sz w:val="28"/>
    </w:rPr>
  </w:style>
  <w:style w:type="paragraph" w:customStyle="1" w:styleId="InChapter">
    <w:name w:val="InChapter"/>
    <w:basedOn w:val="Heading3"/>
    <w:rsid w:val="00A9606C"/>
    <w:pPr>
      <w:spacing w:after="240"/>
      <w:outlineLvl w:val="9"/>
    </w:pPr>
    <w:rPr>
      <w:noProof/>
    </w:rPr>
  </w:style>
  <w:style w:type="paragraph" w:styleId="Index2">
    <w:name w:val="index 2"/>
    <w:basedOn w:val="Normal"/>
    <w:next w:val="Normal"/>
    <w:semiHidden/>
    <w:rsid w:val="00A9606C"/>
    <w:pPr>
      <w:tabs>
        <w:tab w:val="right" w:pos="4176"/>
      </w:tabs>
      <w:ind w:left="568" w:hanging="284"/>
    </w:pPr>
    <w:rPr>
      <w:rFonts w:ascii="Garamond" w:hAnsi="Garamond"/>
    </w:rPr>
  </w:style>
  <w:style w:type="paragraph" w:customStyle="1" w:styleId="Byline">
    <w:name w:val="Byline"/>
    <w:rsid w:val="00A960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606C"/>
    <w:pPr>
      <w:tabs>
        <w:tab w:val="clear" w:pos="3600"/>
        <w:tab w:val="clear" w:pos="3958"/>
      </w:tabs>
      <w:jc w:val="right"/>
    </w:pPr>
  </w:style>
  <w:style w:type="paragraph" w:styleId="Caption">
    <w:name w:val="caption"/>
    <w:basedOn w:val="BodyText"/>
    <w:next w:val="Normal"/>
    <w:qFormat/>
    <w:rsid w:val="00A9606C"/>
    <w:pPr>
      <w:framePr w:w="2268" w:hSpace="181" w:vSpace="181" w:wrap="around" w:vAnchor="text" w:hAnchor="page" w:x="1135" w:y="285" w:anchorLock="1"/>
    </w:pPr>
    <w:rPr>
      <w:i/>
    </w:rPr>
  </w:style>
  <w:style w:type="paragraph" w:customStyle="1" w:styleId="MiniTOCTitle">
    <w:name w:val="MiniTOCTitle"/>
    <w:basedOn w:val="Heading4"/>
    <w:rsid w:val="00A9606C"/>
    <w:pPr>
      <w:spacing w:before="240"/>
      <w:outlineLvl w:val="9"/>
    </w:pPr>
    <w:rPr>
      <w:noProof/>
      <w:sz w:val="24"/>
    </w:rPr>
  </w:style>
  <w:style w:type="paragraph" w:customStyle="1" w:styleId="MiniTOCItem">
    <w:name w:val="MiniTOCItem"/>
    <w:basedOn w:val="ListBullet"/>
    <w:rsid w:val="00A9606C"/>
    <w:pPr>
      <w:numPr>
        <w:numId w:val="0"/>
      </w:numPr>
      <w:tabs>
        <w:tab w:val="right" w:leader="dot" w:pos="6521"/>
      </w:tabs>
      <w:spacing w:before="0" w:after="0"/>
    </w:pPr>
  </w:style>
  <w:style w:type="paragraph" w:customStyle="1" w:styleId="TOFTitle">
    <w:name w:val="TOFTitle"/>
    <w:basedOn w:val="TOCTitle"/>
    <w:rsid w:val="00A9606C"/>
  </w:style>
  <w:style w:type="paragraph" w:styleId="TableofFigures">
    <w:name w:val="table of figures"/>
    <w:basedOn w:val="Normal"/>
    <w:next w:val="Normal"/>
    <w:semiHidden/>
    <w:rsid w:val="00A9606C"/>
    <w:pPr>
      <w:tabs>
        <w:tab w:val="right" w:leader="dot" w:pos="9072"/>
      </w:tabs>
      <w:ind w:left="970" w:hanging="403"/>
    </w:pPr>
    <w:rPr>
      <w:rFonts w:ascii="Times New Roman" w:hAnsi="Times New Roman"/>
      <w:b/>
    </w:rPr>
  </w:style>
  <w:style w:type="paragraph" w:styleId="ListNumber">
    <w:name w:val="List Number"/>
    <w:basedOn w:val="List"/>
    <w:rsid w:val="00A9606C"/>
    <w:pPr>
      <w:numPr>
        <w:numId w:val="15"/>
      </w:numPr>
      <w:tabs>
        <w:tab w:val="clear" w:pos="340"/>
      </w:tabs>
    </w:pPr>
  </w:style>
  <w:style w:type="character" w:customStyle="1" w:styleId="WingdingSymbols">
    <w:name w:val="Wingding Symbols"/>
    <w:rsid w:val="00A9606C"/>
    <w:rPr>
      <w:rFonts w:ascii="Wingdings" w:hAnsi="Wingdings"/>
    </w:rPr>
  </w:style>
  <w:style w:type="paragraph" w:customStyle="1" w:styleId="TableHeading">
    <w:name w:val="Table Heading"/>
    <w:basedOn w:val="HeadingBase"/>
    <w:rsid w:val="00A9606C"/>
    <w:pPr>
      <w:keepLines/>
      <w:pBdr>
        <w:bottom w:val="single" w:sz="6" w:space="1" w:color="918585"/>
      </w:pBdr>
      <w:spacing w:before="240"/>
    </w:pPr>
  </w:style>
  <w:style w:type="character" w:customStyle="1" w:styleId="HotSpot">
    <w:name w:val="HotSpot"/>
    <w:rsid w:val="00A9606C"/>
    <w:rPr>
      <w:color w:val="0033CC"/>
      <w:u w:val="none"/>
    </w:rPr>
  </w:style>
  <w:style w:type="paragraph" w:customStyle="1" w:styleId="BodyTextRight">
    <w:name w:val="Body Text Right"/>
    <w:basedOn w:val="BodyText"/>
    <w:rsid w:val="00A9606C"/>
    <w:pPr>
      <w:spacing w:before="0" w:after="0"/>
      <w:jc w:val="right"/>
    </w:pPr>
  </w:style>
  <w:style w:type="paragraph" w:styleId="Index3">
    <w:name w:val="index 3"/>
    <w:basedOn w:val="ListNumber2"/>
    <w:next w:val="Normal"/>
    <w:semiHidden/>
    <w:rsid w:val="00A9606C"/>
    <w:pPr>
      <w:numPr>
        <w:numId w:val="0"/>
      </w:numPr>
      <w:tabs>
        <w:tab w:val="right" w:leader="dot" w:pos="4176"/>
      </w:tabs>
    </w:pPr>
  </w:style>
  <w:style w:type="paragraph" w:styleId="ListNumber2">
    <w:name w:val="List Number 2"/>
    <w:basedOn w:val="List2"/>
    <w:rsid w:val="00A9606C"/>
    <w:pPr>
      <w:numPr>
        <w:numId w:val="10"/>
      </w:numPr>
      <w:tabs>
        <w:tab w:val="clear" w:pos="1060"/>
      </w:tabs>
    </w:pPr>
  </w:style>
  <w:style w:type="paragraph" w:customStyle="1" w:styleId="MarginNote">
    <w:name w:val="Margin Note"/>
    <w:basedOn w:val="BodyText"/>
    <w:rsid w:val="00A960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60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60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606C"/>
    <w:rPr>
      <w:sz w:val="32"/>
    </w:rPr>
  </w:style>
  <w:style w:type="paragraph" w:customStyle="1" w:styleId="HeadingProcedure">
    <w:name w:val="Heading Procedure"/>
    <w:basedOn w:val="HeadingBase"/>
    <w:next w:val="Normal"/>
    <w:rsid w:val="00A9606C"/>
    <w:pPr>
      <w:tabs>
        <w:tab w:val="left" w:pos="0"/>
      </w:tabs>
      <w:spacing w:before="120" w:after="60"/>
    </w:pPr>
    <w:rPr>
      <w:i/>
      <w:color w:val="918585"/>
      <w:sz w:val="22"/>
    </w:rPr>
  </w:style>
  <w:style w:type="paragraph" w:customStyle="1" w:styleId="TableBodyText">
    <w:name w:val="Table Body Text"/>
    <w:basedOn w:val="BodyText"/>
    <w:rsid w:val="00A9606C"/>
    <w:pPr>
      <w:spacing w:before="60" w:after="60"/>
    </w:pPr>
  </w:style>
  <w:style w:type="paragraph" w:styleId="ListContinue">
    <w:name w:val="List Continue"/>
    <w:basedOn w:val="List"/>
    <w:rsid w:val="00A9606C"/>
    <w:pPr>
      <w:ind w:firstLine="0"/>
    </w:pPr>
  </w:style>
  <w:style w:type="paragraph" w:customStyle="1" w:styleId="ListNote">
    <w:name w:val="List Note"/>
    <w:basedOn w:val="List"/>
    <w:rsid w:val="00A9606C"/>
    <w:pPr>
      <w:pBdr>
        <w:top w:val="single" w:sz="6" w:space="2" w:color="918585"/>
        <w:bottom w:val="single" w:sz="6" w:space="2" w:color="918585"/>
      </w:pBdr>
      <w:tabs>
        <w:tab w:val="left" w:pos="1021"/>
      </w:tabs>
      <w:ind w:firstLine="0"/>
    </w:pPr>
  </w:style>
  <w:style w:type="paragraph" w:customStyle="1" w:styleId="Warning">
    <w:name w:val="Warning"/>
    <w:basedOn w:val="BodyText"/>
    <w:rsid w:val="00A9606C"/>
    <w:pPr>
      <w:shd w:val="clear" w:color="auto" w:fill="D9D9D9"/>
      <w:tabs>
        <w:tab w:val="left" w:pos="992"/>
      </w:tabs>
      <w:ind w:left="119" w:right="119"/>
    </w:pPr>
    <w:rPr>
      <w:sz w:val="20"/>
    </w:rPr>
  </w:style>
  <w:style w:type="paragraph" w:customStyle="1" w:styleId="MarginIcons">
    <w:name w:val="Margin Icons"/>
    <w:basedOn w:val="BodyText"/>
    <w:rsid w:val="00A960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606C"/>
    <w:rPr>
      <w:rFonts w:ascii="Courier New" w:hAnsi="Courier New"/>
    </w:rPr>
  </w:style>
  <w:style w:type="paragraph" w:customStyle="1" w:styleId="NoteBullet">
    <w:name w:val="Note Bullet"/>
    <w:basedOn w:val="Note"/>
    <w:rsid w:val="00A9606C"/>
    <w:pPr>
      <w:tabs>
        <w:tab w:val="clear" w:pos="680"/>
      </w:tabs>
      <w:spacing w:before="60" w:after="60"/>
    </w:pPr>
  </w:style>
  <w:style w:type="paragraph" w:customStyle="1" w:styleId="SubHeading2">
    <w:name w:val="SubHeading2"/>
    <w:basedOn w:val="HeadingBase"/>
    <w:rsid w:val="00A9606C"/>
    <w:pPr>
      <w:spacing w:before="240" w:after="60"/>
    </w:pPr>
    <w:rPr>
      <w:sz w:val="20"/>
    </w:rPr>
  </w:style>
  <w:style w:type="paragraph" w:customStyle="1" w:styleId="SubHeading1">
    <w:name w:val="SubHeading1"/>
    <w:basedOn w:val="HeadingBase"/>
    <w:rsid w:val="00A9606C"/>
    <w:pPr>
      <w:spacing w:before="240" w:after="60"/>
    </w:pPr>
    <w:rPr>
      <w:color w:val="918585"/>
      <w:sz w:val="22"/>
    </w:rPr>
  </w:style>
  <w:style w:type="paragraph" w:customStyle="1" w:styleId="SideHeading">
    <w:name w:val="Side Heading"/>
    <w:basedOn w:val="HeadingBase"/>
    <w:rsid w:val="00A960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606C"/>
    <w:pPr>
      <w:tabs>
        <w:tab w:val="num" w:pos="360"/>
      </w:tabs>
    </w:pPr>
  </w:style>
  <w:style w:type="paragraph" w:styleId="PlainText">
    <w:name w:val="Plain Text"/>
    <w:basedOn w:val="Normal"/>
    <w:link w:val="PlainTextChar"/>
    <w:rsid w:val="00A9606C"/>
    <w:rPr>
      <w:sz w:val="20"/>
    </w:rPr>
  </w:style>
  <w:style w:type="character" w:customStyle="1" w:styleId="PlainTextChar">
    <w:name w:val="Plain Text Char"/>
    <w:basedOn w:val="DefaultParagraphFont"/>
    <w:link w:val="PlainText"/>
    <w:rsid w:val="00A9606C"/>
    <w:rPr>
      <w:rFonts w:ascii="Courier New" w:eastAsia="Times New Roman" w:hAnsi="Courier New" w:cs="Times New Roman"/>
      <w:sz w:val="20"/>
      <w:szCs w:val="20"/>
      <w:lang w:eastAsia="en-US"/>
    </w:rPr>
  </w:style>
  <w:style w:type="character" w:customStyle="1" w:styleId="MenuOption">
    <w:name w:val="Menu Option"/>
    <w:basedOn w:val="DefaultParagraphFont"/>
    <w:rsid w:val="00A9606C"/>
    <w:rPr>
      <w:b/>
      <w:smallCaps/>
    </w:rPr>
  </w:style>
  <w:style w:type="paragraph" w:customStyle="1" w:styleId="TableListNumber">
    <w:name w:val="Table List Number"/>
    <w:basedOn w:val="ListNumber"/>
    <w:rsid w:val="00A9606C"/>
    <w:pPr>
      <w:numPr>
        <w:numId w:val="0"/>
      </w:numPr>
    </w:pPr>
  </w:style>
  <w:style w:type="paragraph" w:styleId="TOC4">
    <w:name w:val="toc 4"/>
    <w:basedOn w:val="TOCBase"/>
    <w:next w:val="Normal"/>
    <w:semiHidden/>
    <w:rsid w:val="00A9606C"/>
    <w:pPr>
      <w:tabs>
        <w:tab w:val="right" w:leader="dot" w:pos="9071"/>
      </w:tabs>
      <w:ind w:left="1701"/>
    </w:pPr>
  </w:style>
  <w:style w:type="paragraph" w:customStyle="1" w:styleId="ListAlpha">
    <w:name w:val="List Alpha"/>
    <w:basedOn w:val="List"/>
    <w:rsid w:val="00A9606C"/>
    <w:pPr>
      <w:numPr>
        <w:numId w:val="9"/>
      </w:numPr>
    </w:pPr>
  </w:style>
  <w:style w:type="paragraph" w:customStyle="1" w:styleId="ListAlpha2">
    <w:name w:val="List Alpha 2"/>
    <w:basedOn w:val="List2"/>
    <w:rsid w:val="00A9606C"/>
    <w:pPr>
      <w:numPr>
        <w:numId w:val="8"/>
      </w:numPr>
    </w:pPr>
  </w:style>
  <w:style w:type="paragraph" w:styleId="List2">
    <w:name w:val="List 2"/>
    <w:basedOn w:val="BodyText"/>
    <w:rsid w:val="00A9606C"/>
    <w:pPr>
      <w:tabs>
        <w:tab w:val="left" w:pos="680"/>
      </w:tabs>
      <w:spacing w:before="60" w:after="60"/>
      <w:ind w:left="680" w:hanging="340"/>
    </w:pPr>
  </w:style>
  <w:style w:type="paragraph" w:styleId="List3">
    <w:name w:val="List 3"/>
    <w:basedOn w:val="BodyText"/>
    <w:rsid w:val="00A9606C"/>
    <w:pPr>
      <w:tabs>
        <w:tab w:val="left" w:pos="1021"/>
      </w:tabs>
      <w:spacing w:before="60" w:after="60"/>
      <w:ind w:left="1020" w:hanging="340"/>
    </w:pPr>
  </w:style>
  <w:style w:type="paragraph" w:styleId="List4">
    <w:name w:val="List 4"/>
    <w:basedOn w:val="BodyText"/>
    <w:rsid w:val="00A9606C"/>
    <w:pPr>
      <w:tabs>
        <w:tab w:val="left" w:pos="1361"/>
      </w:tabs>
      <w:spacing w:before="60" w:after="60"/>
      <w:ind w:left="1361" w:hanging="340"/>
    </w:pPr>
  </w:style>
  <w:style w:type="paragraph" w:styleId="List5">
    <w:name w:val="List 5"/>
    <w:basedOn w:val="BodyText"/>
    <w:rsid w:val="00A9606C"/>
    <w:pPr>
      <w:tabs>
        <w:tab w:val="left" w:pos="1701"/>
      </w:tabs>
      <w:spacing w:before="60" w:after="60"/>
      <w:ind w:left="1701" w:hanging="340"/>
    </w:pPr>
  </w:style>
  <w:style w:type="paragraph" w:styleId="ListBullet3">
    <w:name w:val="List Bullet 3"/>
    <w:basedOn w:val="List3"/>
    <w:rsid w:val="00A9606C"/>
    <w:pPr>
      <w:numPr>
        <w:numId w:val="14"/>
      </w:numPr>
      <w:tabs>
        <w:tab w:val="clear" w:pos="1021"/>
      </w:tabs>
      <w:ind w:left="1037" w:hanging="357"/>
    </w:pPr>
  </w:style>
  <w:style w:type="paragraph" w:styleId="ListBullet4">
    <w:name w:val="List Bullet 4"/>
    <w:basedOn w:val="List4"/>
    <w:rsid w:val="00A9606C"/>
    <w:pPr>
      <w:numPr>
        <w:numId w:val="3"/>
      </w:numPr>
      <w:tabs>
        <w:tab w:val="clear" w:pos="1361"/>
      </w:tabs>
    </w:pPr>
  </w:style>
  <w:style w:type="paragraph" w:styleId="ListBullet5">
    <w:name w:val="List Bullet 5"/>
    <w:basedOn w:val="List5"/>
    <w:rsid w:val="00A9606C"/>
    <w:pPr>
      <w:numPr>
        <w:numId w:val="4"/>
      </w:numPr>
    </w:pPr>
  </w:style>
  <w:style w:type="paragraph" w:styleId="ListContinue2">
    <w:name w:val="List Continue 2"/>
    <w:basedOn w:val="List2"/>
    <w:rsid w:val="00A9606C"/>
    <w:pPr>
      <w:ind w:firstLine="0"/>
    </w:pPr>
  </w:style>
  <w:style w:type="paragraph" w:styleId="ListContinue3">
    <w:name w:val="List Continue 3"/>
    <w:basedOn w:val="List3"/>
    <w:rsid w:val="00A9606C"/>
    <w:pPr>
      <w:ind w:left="1021" w:firstLine="0"/>
    </w:pPr>
  </w:style>
  <w:style w:type="paragraph" w:styleId="ListContinue4">
    <w:name w:val="List Continue 4"/>
    <w:basedOn w:val="List4"/>
    <w:rsid w:val="00A9606C"/>
    <w:pPr>
      <w:ind w:firstLine="0"/>
    </w:pPr>
  </w:style>
  <w:style w:type="paragraph" w:styleId="ListContinue5">
    <w:name w:val="List Continue 5"/>
    <w:basedOn w:val="List5"/>
    <w:rsid w:val="00A9606C"/>
    <w:pPr>
      <w:ind w:firstLine="0"/>
    </w:pPr>
  </w:style>
  <w:style w:type="paragraph" w:styleId="ListNumber3">
    <w:name w:val="List Number 3"/>
    <w:basedOn w:val="List3"/>
    <w:rsid w:val="00A9606C"/>
    <w:pPr>
      <w:numPr>
        <w:numId w:val="5"/>
      </w:numPr>
    </w:pPr>
  </w:style>
  <w:style w:type="paragraph" w:styleId="ListNumber4">
    <w:name w:val="List Number 4"/>
    <w:basedOn w:val="List4"/>
    <w:rsid w:val="00A9606C"/>
    <w:pPr>
      <w:numPr>
        <w:numId w:val="6"/>
      </w:numPr>
    </w:pPr>
  </w:style>
  <w:style w:type="paragraph" w:styleId="ListNumber5">
    <w:name w:val="List Number 5"/>
    <w:basedOn w:val="List5"/>
    <w:rsid w:val="00A9606C"/>
    <w:pPr>
      <w:numPr>
        <w:numId w:val="7"/>
      </w:numPr>
    </w:pPr>
  </w:style>
  <w:style w:type="paragraph" w:styleId="BlockText">
    <w:name w:val="Block Text"/>
    <w:basedOn w:val="Normal"/>
    <w:rsid w:val="00A9606C"/>
    <w:pPr>
      <w:spacing w:after="120"/>
      <w:ind w:left="1440" w:right="1440"/>
    </w:pPr>
  </w:style>
  <w:style w:type="character" w:customStyle="1" w:styleId="Subscript">
    <w:name w:val="Subscript"/>
    <w:basedOn w:val="DefaultParagraphFont"/>
    <w:rsid w:val="00A9606C"/>
    <w:rPr>
      <w:sz w:val="16"/>
      <w:vertAlign w:val="subscript"/>
    </w:rPr>
  </w:style>
  <w:style w:type="character" w:customStyle="1" w:styleId="Superscript">
    <w:name w:val="Superscript"/>
    <w:basedOn w:val="DefaultParagraphFont"/>
    <w:rsid w:val="00A9606C"/>
    <w:rPr>
      <w:sz w:val="16"/>
      <w:vertAlign w:val="superscript"/>
    </w:rPr>
  </w:style>
  <w:style w:type="character" w:customStyle="1" w:styleId="Symbols">
    <w:name w:val="Symbols"/>
    <w:basedOn w:val="DefaultParagraphFont"/>
    <w:rsid w:val="00A9606C"/>
    <w:rPr>
      <w:rFonts w:ascii="Symbol" w:hAnsi="Symbol"/>
    </w:rPr>
  </w:style>
  <w:style w:type="character" w:customStyle="1" w:styleId="MenuOptions">
    <w:name w:val="Menu Options"/>
    <w:basedOn w:val="DefaultParagraphFont"/>
    <w:rsid w:val="00A9606C"/>
    <w:rPr>
      <w:rFonts w:ascii="Arial Narrow" w:hAnsi="Arial Narrow"/>
      <w:smallCaps/>
    </w:rPr>
  </w:style>
  <w:style w:type="character" w:customStyle="1" w:styleId="Buttons">
    <w:name w:val="Buttons"/>
    <w:basedOn w:val="DefaultParagraphFont"/>
    <w:rsid w:val="00A9606C"/>
    <w:rPr>
      <w:b/>
    </w:rPr>
  </w:style>
  <w:style w:type="character" w:customStyle="1" w:styleId="Underlined">
    <w:name w:val="Underlined"/>
    <w:basedOn w:val="DefaultParagraphFont"/>
    <w:rsid w:val="00A9606C"/>
    <w:rPr>
      <w:u w:val="single"/>
    </w:rPr>
  </w:style>
  <w:style w:type="paragraph" w:customStyle="1" w:styleId="TableBodyTextRight">
    <w:name w:val="Table Body Text Right"/>
    <w:basedOn w:val="TableBodyText"/>
    <w:rsid w:val="00A9606C"/>
    <w:pPr>
      <w:widowControl w:val="0"/>
      <w:autoSpaceDE w:val="0"/>
      <w:autoSpaceDN w:val="0"/>
      <w:adjustRightInd w:val="0"/>
      <w:jc w:val="right"/>
    </w:pPr>
    <w:rPr>
      <w:rFonts w:cs="Arial"/>
      <w:szCs w:val="18"/>
    </w:rPr>
  </w:style>
  <w:style w:type="paragraph" w:customStyle="1" w:styleId="CopyrightText">
    <w:name w:val="Copyright Text"/>
    <w:basedOn w:val="BodyText"/>
    <w:rsid w:val="00A9606C"/>
    <w:rPr>
      <w:sz w:val="18"/>
    </w:rPr>
  </w:style>
  <w:style w:type="paragraph" w:customStyle="1" w:styleId="BodySmallRight">
    <w:name w:val="Body Small Right"/>
    <w:basedOn w:val="BodyTextRight"/>
    <w:rsid w:val="00A9606C"/>
    <w:rPr>
      <w:sz w:val="18"/>
      <w:szCs w:val="18"/>
    </w:rPr>
  </w:style>
  <w:style w:type="paragraph" w:customStyle="1" w:styleId="MarginEdition">
    <w:name w:val="Margin Edition"/>
    <w:basedOn w:val="MarginNote"/>
    <w:rsid w:val="00A9606C"/>
    <w:pPr>
      <w:spacing w:before="0" w:after="0"/>
    </w:pPr>
    <w:rPr>
      <w:rFonts w:ascii="Times New Roman" w:hAnsi="Times New Roman"/>
      <w:color w:val="999999"/>
    </w:rPr>
  </w:style>
  <w:style w:type="paragraph" w:customStyle="1" w:styleId="Spacer">
    <w:name w:val="Spacer"/>
    <w:basedOn w:val="Normal"/>
    <w:rsid w:val="00A9606C"/>
    <w:rPr>
      <w:sz w:val="2"/>
      <w:szCs w:val="2"/>
    </w:rPr>
  </w:style>
  <w:style w:type="character" w:customStyle="1" w:styleId="Small">
    <w:name w:val="Small"/>
    <w:basedOn w:val="DefaultParagraphFont"/>
    <w:rsid w:val="00A9606C"/>
    <w:rPr>
      <w:sz w:val="16"/>
    </w:rPr>
  </w:style>
  <w:style w:type="paragraph" w:customStyle="1" w:styleId="WideTable">
    <w:name w:val="Wide Table"/>
    <w:basedOn w:val="Normal"/>
    <w:rsid w:val="00A9606C"/>
    <w:pPr>
      <w:ind w:left="-1418"/>
    </w:pPr>
    <w:rPr>
      <w:sz w:val="2"/>
      <w:szCs w:val="2"/>
    </w:rPr>
  </w:style>
  <w:style w:type="character" w:styleId="PageNumber">
    <w:name w:val="page number"/>
    <w:basedOn w:val="DefaultParagraphFont"/>
    <w:rsid w:val="00A9606C"/>
  </w:style>
  <w:style w:type="paragraph" w:styleId="Quote">
    <w:name w:val="Quote"/>
    <w:basedOn w:val="Heading1"/>
    <w:link w:val="QuoteChar"/>
    <w:qFormat/>
    <w:rsid w:val="00A9606C"/>
    <w:rPr>
      <w:b w:val="0"/>
      <w:sz w:val="72"/>
      <w:szCs w:val="72"/>
      <w:lang w:val="en-NZ"/>
    </w:rPr>
  </w:style>
  <w:style w:type="character" w:customStyle="1" w:styleId="QuoteChar">
    <w:name w:val="Quote Char"/>
    <w:basedOn w:val="DefaultParagraphFont"/>
    <w:link w:val="Quote"/>
    <w:rsid w:val="00A960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606C"/>
    <w:pPr>
      <w:pageBreakBefore/>
    </w:pPr>
  </w:style>
  <w:style w:type="paragraph" w:customStyle="1" w:styleId="Border">
    <w:name w:val="Border"/>
    <w:basedOn w:val="Normal"/>
    <w:qFormat/>
    <w:rsid w:val="00A960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606C"/>
    <w:rPr>
      <w:b/>
      <w:bCs/>
      <w:i/>
      <w:iCs/>
      <w:color w:val="auto"/>
    </w:rPr>
  </w:style>
  <w:style w:type="paragraph" w:styleId="IntenseQuote">
    <w:name w:val="Intense Quote"/>
    <w:basedOn w:val="Normal"/>
    <w:next w:val="Normal"/>
    <w:link w:val="IntenseQuoteChar"/>
    <w:uiPriority w:val="30"/>
    <w:qFormat/>
    <w:rsid w:val="00A960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60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606C"/>
    <w:rPr>
      <w:smallCaps/>
      <w:color w:val="auto"/>
      <w:u w:val="single"/>
    </w:rPr>
  </w:style>
  <w:style w:type="character" w:styleId="IntenseReference">
    <w:name w:val="Intense Reference"/>
    <w:basedOn w:val="DefaultParagraphFont"/>
    <w:uiPriority w:val="32"/>
    <w:qFormat/>
    <w:rsid w:val="00A9606C"/>
    <w:rPr>
      <w:b/>
      <w:bCs/>
      <w:smallCaps/>
      <w:color w:val="auto"/>
      <w:spacing w:val="5"/>
      <w:u w:val="single"/>
    </w:rPr>
  </w:style>
  <w:style w:type="paragraph" w:customStyle="1" w:styleId="2ColumnHeading">
    <w:name w:val="2Column Heading"/>
    <w:basedOn w:val="BodyText"/>
    <w:qFormat/>
    <w:rsid w:val="00A9606C"/>
    <w:pPr>
      <w:spacing w:after="60"/>
      <w:ind w:left="-2268"/>
    </w:pPr>
    <w:rPr>
      <w:b/>
    </w:rPr>
  </w:style>
  <w:style w:type="paragraph" w:customStyle="1" w:styleId="Heading1TOC">
    <w:name w:val="Heading1 TOC"/>
    <w:basedOn w:val="Normal"/>
    <w:qFormat/>
    <w:rsid w:val="00A9606C"/>
    <w:pPr>
      <w:spacing w:before="240" w:after="120"/>
    </w:pPr>
    <w:rPr>
      <w:rFonts w:ascii="Times New Roman" w:hAnsi="Times New Roman"/>
      <w:b/>
      <w:sz w:val="32"/>
    </w:rPr>
  </w:style>
  <w:style w:type="paragraph" w:customStyle="1" w:styleId="Heading2TOC">
    <w:name w:val="Heading2 TOC"/>
    <w:basedOn w:val="Normal"/>
    <w:qFormat/>
    <w:rsid w:val="00A9606C"/>
    <w:pPr>
      <w:spacing w:before="240" w:after="60"/>
    </w:pPr>
    <w:rPr>
      <w:rFonts w:ascii="Times New Roman" w:hAnsi="Times New Roman"/>
      <w:b/>
      <w:sz w:val="28"/>
    </w:rPr>
  </w:style>
  <w:style w:type="character" w:customStyle="1" w:styleId="Underline">
    <w:name w:val="Underline"/>
    <w:basedOn w:val="DefaultParagraphFont"/>
    <w:qFormat/>
    <w:rsid w:val="00A9606C"/>
    <w:rPr>
      <w:u w:val="single"/>
    </w:rPr>
  </w:style>
  <w:style w:type="character" w:customStyle="1" w:styleId="BoldandItalics">
    <w:name w:val="Bold and Italics"/>
    <w:qFormat/>
    <w:rsid w:val="00A9606C"/>
    <w:rPr>
      <w:b/>
      <w:i/>
      <w:u w:val="none"/>
    </w:rPr>
  </w:style>
  <w:style w:type="paragraph" w:styleId="BalloonText">
    <w:name w:val="Balloon Text"/>
    <w:basedOn w:val="Normal"/>
    <w:link w:val="BalloonTextChar"/>
    <w:rsid w:val="00A9606C"/>
    <w:rPr>
      <w:rFonts w:ascii="Tahoma" w:hAnsi="Tahoma" w:cs="Tahoma"/>
      <w:sz w:val="16"/>
      <w:szCs w:val="16"/>
    </w:rPr>
  </w:style>
  <w:style w:type="character" w:customStyle="1" w:styleId="BalloonTextChar">
    <w:name w:val="Balloon Text Char"/>
    <w:basedOn w:val="DefaultParagraphFont"/>
    <w:link w:val="BalloonText"/>
    <w:rsid w:val="00A960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60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60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606C"/>
    <w:rPr>
      <w:b/>
      <w:color w:val="660033"/>
      <w:spacing w:val="0"/>
    </w:rPr>
  </w:style>
  <w:style w:type="paragraph" w:customStyle="1" w:styleId="Nameditemlist">
    <w:name w:val="Named item list"/>
    <w:basedOn w:val="BodyText"/>
    <w:qFormat/>
    <w:rsid w:val="00A9606C"/>
    <w:pPr>
      <w:tabs>
        <w:tab w:val="left" w:pos="2835"/>
      </w:tabs>
      <w:ind w:left="2835" w:hanging="2835"/>
    </w:pPr>
  </w:style>
  <w:style w:type="paragraph" w:customStyle="1" w:styleId="BodyTextnopadding">
    <w:name w:val="Body Text no padding"/>
    <w:basedOn w:val="BodyText"/>
    <w:qFormat/>
    <w:rsid w:val="00A9606C"/>
    <w:pPr>
      <w:spacing w:before="0" w:after="0"/>
    </w:pPr>
  </w:style>
  <w:style w:type="paragraph" w:customStyle="1" w:styleId="BodyTextBold">
    <w:name w:val="Body Text Bold"/>
    <w:basedOn w:val="BodyText"/>
    <w:qFormat/>
    <w:rsid w:val="00A9606C"/>
    <w:rPr>
      <w:b/>
    </w:rPr>
  </w:style>
  <w:style w:type="character" w:styleId="Hyperlink">
    <w:name w:val="Hyperlink"/>
    <w:basedOn w:val="DefaultParagraphFont"/>
    <w:uiPriority w:val="99"/>
    <w:unhideWhenUsed/>
    <w:rsid w:val="00444E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939</Words>
  <Characters>6128</Characters>
  <Application>Microsoft Office Word</Application>
  <DocSecurity>0</DocSecurity>
  <Lines>255</Lines>
  <Paragraphs>172</Paragraphs>
  <ScaleCrop>false</ScaleCrop>
  <Company>Author-it Software Corporation Ltd.</Company>
  <LinksUpToDate>false</LinksUpToDate>
  <CharactersWithSpaces>6895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CPCCBC5019 Manage building and construction business finances</dc:title>
  <dc:subject>Approved</dc:subject>
  <dc:creator>BuildSkills Australia</dc:creator>
  <cp:keywords>Release: 2</cp:keywords>
  <dc:description>Review Date: 12 April 2008</dc:description>
  <cp:lastModifiedBy>HSD_TPCMSd.prod</cp:lastModifiedBy>
  <cp:revision>3</cp:revision>
  <dcterms:created xsi:type="dcterms:W3CDTF">2025-03-01T11:33:00Z</dcterms:created>
  <dcterms:modified xsi:type="dcterms:W3CDTF">2025-03-01T11:33:00Z</dcterms:modified>
</cp:coreProperties>
</file>