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4A21" w:rsidP="00304A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CPCCBC5019 Manage building and construction business finances</w:t>
      </w:r>
      <w:r>
        <w:fldChar w:fldCharType="end"/>
      </w:r>
    </w:p>
    <w:p w:rsidR="00304A21" w:rsidP="00304A21">
      <w:pPr>
        <w:pStyle w:val="Version"/>
        <w:sectPr w:rsidSect="00B313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313A6" w:rsidP="00B313A6">
      <w:pPr>
        <w:pStyle w:val="SuperHeading"/>
      </w:pPr>
      <w:r w:rsidRPr="00B313A6">
        <w:t>Assessment Requirements for CPCCBC5019 Manage building and construction business finances</w:t>
      </w:r>
    </w:p>
    <w:p w:rsidR="00000000" w:rsidRPr="00B313A6" w:rsidP="00B313A6">
      <w:pPr>
        <w:pStyle w:val="Heading1"/>
      </w:pPr>
      <w:bookmarkStart w:id="1" w:name="O_1293896"/>
      <w:bookmarkEnd w:id="1"/>
      <w:r w:rsidRPr="00B313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31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3A6">
            <w:pPr>
              <w:pStyle w:val="BodyText"/>
              <w:rPr>
                <w:lang w:val="en-NZ"/>
              </w:rPr>
            </w:pPr>
            <w:r w:rsidRPr="00B313A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3A6">
            <w:pPr>
              <w:pStyle w:val="BodyText"/>
              <w:rPr>
                <w:lang w:val="en-NZ"/>
              </w:rPr>
            </w:pPr>
            <w:r w:rsidRPr="00B313A6">
              <w:t>Updated reference to general construction induction training program.</w:t>
            </w:r>
          </w:p>
        </w:tc>
      </w:tr>
      <w:tr w:rsidTr="00B31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3A6">
            <w:pPr>
              <w:pStyle w:val="BodyText"/>
              <w:rPr>
                <w:lang w:val="en-NZ"/>
              </w:rPr>
            </w:pPr>
            <w:r w:rsidRPr="00B313A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3A6" w:rsidP="00B313A6">
            <w:pPr>
              <w:pStyle w:val="BodyText"/>
            </w:pPr>
            <w:r w:rsidRPr="00B313A6">
              <w:t>This version first released with CPC Construction, Plumbing and Services Training Package Release 5.0.</w:t>
            </w:r>
          </w:p>
          <w:p w:rsidR="00000000" w:rsidRPr="00B313A6" w:rsidP="00B313A6">
            <w:pPr>
              <w:pStyle w:val="BodyText"/>
            </w:pPr>
            <w:r w:rsidRPr="00B313A6">
              <w:t>New unit.</w:t>
            </w:r>
          </w:p>
        </w:tc>
      </w:tr>
    </w:tbl>
    <w:p w:rsidR="00000000" w:rsidRPr="00B313A6" w:rsidP="00B313A6">
      <w:pPr>
        <w:pStyle w:val="BodyText"/>
      </w:pPr>
    </w:p>
    <w:p w:rsidR="00000000" w:rsidRPr="00B313A6" w:rsidP="00B313A6">
      <w:pPr>
        <w:pStyle w:val="AllowPageBreak"/>
      </w:pPr>
    </w:p>
    <w:p w:rsidR="00000000" w:rsidRPr="00B313A6" w:rsidP="00B313A6">
      <w:pPr>
        <w:pStyle w:val="Heading1"/>
      </w:pPr>
      <w:bookmarkStart w:id="2" w:name="O_1293895"/>
      <w:bookmarkEnd w:id="2"/>
      <w:r w:rsidRPr="00B313A6">
        <w:t>Performance Evidence</w:t>
      </w:r>
    </w:p>
    <w:p w:rsidR="00000000" w:rsidRPr="00B313A6" w:rsidP="00304A21">
      <w:pPr>
        <w:pStyle w:val="BodyText"/>
      </w:pPr>
      <w:r w:rsidRPr="00B313A6">
        <w:t>To demonstrate competency, a candidate must meet the elements and performance criteria of this unit b</w:t>
      </w:r>
      <w:r w:rsidRPr="00B313A6">
        <w:t>y managing the business finances for a building and construction business over at least six months of business activity and including at least one building and construction project.</w:t>
      </w:r>
    </w:p>
    <w:p w:rsidR="00000000" w:rsidRPr="00B313A6" w:rsidP="00304A21">
      <w:pPr>
        <w:pStyle w:val="BodyText"/>
      </w:pPr>
      <w:r w:rsidRPr="00B313A6">
        <w:t>In doing this, the candidate must:</w:t>
      </w:r>
    </w:p>
    <w:p w:rsidR="00000000" w:rsidRPr="00B313A6" w:rsidP="00B313A6">
      <w:pPr>
        <w:pStyle w:val="ListBullet"/>
      </w:pPr>
      <w:r w:rsidRPr="00B313A6">
        <w:t xml:space="preserve">manage business financial systems and </w:t>
      </w:r>
      <w:r w:rsidRPr="00B313A6">
        <w:t>processes</w:t>
      </w:r>
    </w:p>
    <w:p w:rsidR="00000000" w:rsidRPr="00B313A6" w:rsidP="00B313A6">
      <w:pPr>
        <w:pStyle w:val="ListBullet"/>
      </w:pPr>
      <w:r w:rsidRPr="00B313A6">
        <w:t>schedule, monitor and process incoming and outgoing payments</w:t>
      </w:r>
    </w:p>
    <w:p w:rsidR="00000000" w:rsidRPr="00B313A6" w:rsidP="00B313A6">
      <w:pPr>
        <w:pStyle w:val="ListBullet"/>
      </w:pPr>
      <w:r w:rsidRPr="00B313A6">
        <w:t>manage budgeting, cash flow and debt recovery</w:t>
      </w:r>
    </w:p>
    <w:p w:rsidR="00000000" w:rsidRPr="00B313A6" w:rsidP="00B313A6">
      <w:pPr>
        <w:pStyle w:val="ListBullet"/>
      </w:pPr>
      <w:r w:rsidRPr="00B313A6">
        <w:t>lodge monthly, quarterly or annual statements and pay tax and workplace liabilities for the registered business</w:t>
      </w:r>
    </w:p>
    <w:p w:rsidR="00000000" w:rsidRPr="00B313A6" w:rsidP="00B313A6">
      <w:pPr>
        <w:pStyle w:val="ListBullet"/>
      </w:pPr>
      <w:r w:rsidRPr="00B313A6">
        <w:t>conduct a business financial risk assessment.</w:t>
      </w:r>
    </w:p>
    <w:p w:rsidR="00000000" w:rsidRPr="00B313A6" w:rsidP="00B313A6">
      <w:pPr>
        <w:pStyle w:val="AllowPageBreak"/>
      </w:pPr>
    </w:p>
    <w:p w:rsidR="00000000" w:rsidRPr="00B313A6" w:rsidP="00B313A6">
      <w:pPr>
        <w:pStyle w:val="Heading1"/>
      </w:pPr>
      <w:bookmarkStart w:id="3" w:name="O_1293894"/>
      <w:bookmarkEnd w:id="3"/>
      <w:r w:rsidRPr="00B313A6">
        <w:t>Knowledge Evidence</w:t>
      </w:r>
    </w:p>
    <w:p w:rsidR="00000000" w:rsidRPr="00B313A6" w:rsidP="00304A21">
      <w:pPr>
        <w:pStyle w:val="BodyText"/>
      </w:pPr>
      <w:r w:rsidRPr="00B313A6">
        <w:t>To be competent in this unit, a candidate must demonstrate knowledge of:</w:t>
      </w:r>
    </w:p>
    <w:p w:rsidR="00000000" w:rsidRPr="00B313A6" w:rsidP="00B313A6">
      <w:pPr>
        <w:pStyle w:val="ListBullet"/>
      </w:pPr>
      <w:r w:rsidRPr="00B313A6">
        <w:t>economic and industry trends</w:t>
      </w:r>
    </w:p>
    <w:p w:rsidR="00000000" w:rsidRPr="00B313A6" w:rsidP="00B313A6">
      <w:pPr>
        <w:pStyle w:val="ListBullet"/>
      </w:pPr>
      <w:r w:rsidRPr="00B313A6">
        <w:t>financial concepts:</w:t>
      </w:r>
    </w:p>
    <w:p w:rsidR="00000000" w:rsidRPr="00B313A6" w:rsidP="00B313A6">
      <w:pPr>
        <w:pStyle w:val="ListBullet2"/>
      </w:pPr>
      <w:r w:rsidRPr="00B313A6">
        <w:t>revenue streams</w:t>
      </w:r>
    </w:p>
    <w:p w:rsidR="00000000" w:rsidRPr="00B313A6" w:rsidP="00B313A6">
      <w:pPr>
        <w:pStyle w:val="ListBullet2"/>
      </w:pPr>
      <w:r w:rsidRPr="00B313A6">
        <w:t>expenses</w:t>
      </w:r>
    </w:p>
    <w:p w:rsidR="00000000" w:rsidRPr="00B313A6" w:rsidP="00B313A6">
      <w:pPr>
        <w:pStyle w:val="ListBullet2"/>
      </w:pPr>
      <w:r w:rsidRPr="00B313A6">
        <w:t>project costings</w:t>
      </w:r>
    </w:p>
    <w:p w:rsidR="00000000" w:rsidRPr="00B313A6" w:rsidP="00B313A6">
      <w:pPr>
        <w:pStyle w:val="ListBullet2"/>
      </w:pPr>
      <w:r w:rsidRPr="00B313A6">
        <w:t>contingency planning</w:t>
      </w:r>
    </w:p>
    <w:p w:rsidR="00000000" w:rsidRPr="00B313A6" w:rsidP="00B313A6">
      <w:pPr>
        <w:pStyle w:val="ListBullet2"/>
      </w:pPr>
      <w:r w:rsidRPr="00B313A6">
        <w:t>business overheads</w:t>
      </w:r>
    </w:p>
    <w:p w:rsidR="00000000" w:rsidRPr="00B313A6" w:rsidP="00B313A6">
      <w:pPr>
        <w:pStyle w:val="ListBullet2"/>
      </w:pPr>
      <w:r w:rsidRPr="00B313A6">
        <w:t>profit</w:t>
      </w:r>
    </w:p>
    <w:p w:rsidR="00000000" w:rsidRPr="00B313A6" w:rsidP="00B313A6">
      <w:pPr>
        <w:pStyle w:val="ListBullet"/>
      </w:pPr>
      <w:r w:rsidRPr="00B313A6">
        <w:t>key government sources for industry information</w:t>
      </w:r>
    </w:p>
    <w:p w:rsidR="00000000" w:rsidRPr="00B313A6" w:rsidP="00B313A6">
      <w:pPr>
        <w:pStyle w:val="ListBullet"/>
      </w:pPr>
      <w:r w:rsidRPr="00B313A6">
        <w:t>Australian Consumer Law</w:t>
      </w:r>
    </w:p>
    <w:p w:rsidR="00000000" w:rsidRPr="00B313A6" w:rsidP="00B313A6">
      <w:pPr>
        <w:pStyle w:val="ListBullet"/>
      </w:pPr>
      <w:r w:rsidRPr="00B313A6">
        <w:t>Competition and Consumer Act</w:t>
      </w:r>
    </w:p>
    <w:p w:rsidR="00000000" w:rsidRPr="00B313A6" w:rsidP="00B313A6">
      <w:pPr>
        <w:pStyle w:val="ListBullet"/>
      </w:pPr>
      <w:r w:rsidRPr="00B313A6">
        <w:t>Australian Taxation Office (ATO) obligations for building and construction businesses:</w:t>
      </w:r>
    </w:p>
    <w:p w:rsidR="00000000" w:rsidRPr="00B313A6" w:rsidP="00B313A6">
      <w:pPr>
        <w:pStyle w:val="ListBullet2"/>
      </w:pPr>
      <w:r w:rsidRPr="00B313A6">
        <w:t>income tax</w:t>
      </w:r>
    </w:p>
    <w:p w:rsidR="00000000" w:rsidRPr="00B313A6" w:rsidP="00B313A6">
      <w:pPr>
        <w:pStyle w:val="ListBullet2"/>
      </w:pPr>
      <w:r w:rsidRPr="00B313A6">
        <w:t xml:space="preserve">capital </w:t>
      </w:r>
      <w:r w:rsidRPr="00B313A6">
        <w:t>gains tax</w:t>
      </w:r>
    </w:p>
    <w:p w:rsidR="00000000" w:rsidRPr="00B313A6" w:rsidP="00B313A6">
      <w:pPr>
        <w:pStyle w:val="ListBullet2"/>
      </w:pPr>
      <w:r w:rsidRPr="00B313A6">
        <w:t>payroll tax</w:t>
      </w:r>
    </w:p>
    <w:p w:rsidR="00000000" w:rsidRPr="00B313A6" w:rsidP="00B313A6">
      <w:pPr>
        <w:pStyle w:val="ListBullet2"/>
      </w:pPr>
      <w:r w:rsidRPr="00B313A6">
        <w:t>fringe benefits tax</w:t>
      </w:r>
    </w:p>
    <w:p w:rsidR="00000000" w:rsidRPr="00B313A6" w:rsidP="00B313A6">
      <w:pPr>
        <w:pStyle w:val="ListBullet2"/>
      </w:pPr>
      <w:r w:rsidRPr="00B313A6">
        <w:t xml:space="preserve">pay as you go (PAYG) instalments </w:t>
      </w:r>
    </w:p>
    <w:p w:rsidR="00000000" w:rsidRPr="00B313A6" w:rsidP="00B313A6">
      <w:pPr>
        <w:pStyle w:val="ListBullet2"/>
      </w:pPr>
      <w:r w:rsidRPr="00B313A6">
        <w:t>goods and services tax (GST)</w:t>
      </w:r>
    </w:p>
    <w:p w:rsidR="00000000" w:rsidRPr="00B313A6" w:rsidP="00B313A6">
      <w:pPr>
        <w:pStyle w:val="ListBullet2"/>
      </w:pPr>
      <w:r w:rsidRPr="00B313A6">
        <w:t>tax differences between a sole trader and a company</w:t>
      </w:r>
    </w:p>
    <w:p w:rsidR="00000000" w:rsidRPr="00B313A6" w:rsidP="00B313A6">
      <w:pPr>
        <w:pStyle w:val="ListBullet2"/>
      </w:pPr>
      <w:r w:rsidRPr="00B313A6">
        <w:t>registering for taxes</w:t>
      </w:r>
    </w:p>
    <w:p w:rsidR="00000000" w:rsidRPr="00B313A6" w:rsidP="00B313A6">
      <w:pPr>
        <w:pStyle w:val="ListBullet2"/>
      </w:pPr>
      <w:r w:rsidRPr="00B313A6">
        <w:t>methods of paying taxes</w:t>
      </w:r>
    </w:p>
    <w:p w:rsidR="00000000" w:rsidRPr="00B313A6" w:rsidP="00B313A6">
      <w:pPr>
        <w:pStyle w:val="ListBullet2"/>
      </w:pPr>
      <w:r w:rsidRPr="00B313A6">
        <w:t>maintaining business and taxation records</w:t>
      </w:r>
    </w:p>
    <w:p w:rsidR="00000000" w:rsidRPr="00B313A6" w:rsidP="00B313A6">
      <w:pPr>
        <w:pStyle w:val="ListBullet"/>
      </w:pPr>
      <w:r w:rsidRPr="00B313A6">
        <w:t>accounting systems:</w:t>
      </w:r>
    </w:p>
    <w:p w:rsidR="00000000" w:rsidRPr="00B313A6" w:rsidP="00B313A6">
      <w:pPr>
        <w:pStyle w:val="ListBullet2"/>
      </w:pPr>
      <w:r w:rsidRPr="00B313A6">
        <w:t>types of invoices</w:t>
      </w:r>
    </w:p>
    <w:p w:rsidR="00000000" w:rsidRPr="00B313A6" w:rsidP="00B313A6">
      <w:pPr>
        <w:pStyle w:val="ListBullet2"/>
      </w:pPr>
      <w:r w:rsidRPr="00B313A6">
        <w:t>invoicing and collecting payments</w:t>
      </w:r>
    </w:p>
    <w:p w:rsidR="00000000" w:rsidRPr="00B313A6" w:rsidP="00B313A6">
      <w:pPr>
        <w:pStyle w:val="ListBullet2"/>
      </w:pPr>
      <w:r w:rsidRPr="00B313A6">
        <w:t>budgeting and reporting</w:t>
      </w:r>
    </w:p>
    <w:p w:rsidR="00000000" w:rsidRPr="00B313A6" w:rsidP="00B313A6">
      <w:pPr>
        <w:pStyle w:val="ListBullet2"/>
      </w:pPr>
      <w:r w:rsidRPr="00B313A6">
        <w:t>end of financial year</w:t>
      </w:r>
    </w:p>
    <w:p w:rsidR="00000000" w:rsidRPr="00B313A6" w:rsidP="00B313A6">
      <w:pPr>
        <w:pStyle w:val="ListBullet"/>
      </w:pPr>
      <w:r w:rsidRPr="00B313A6">
        <w:t>payment methods:</w:t>
      </w:r>
    </w:p>
    <w:p w:rsidR="00000000" w:rsidRPr="00B313A6" w:rsidP="00B313A6">
      <w:pPr>
        <w:pStyle w:val="ListBullet2"/>
      </w:pPr>
      <w:r w:rsidRPr="00B313A6">
        <w:t>credit and debit card</w:t>
      </w:r>
    </w:p>
    <w:p w:rsidR="00000000" w:rsidRPr="00B313A6" w:rsidP="00B313A6">
      <w:pPr>
        <w:pStyle w:val="ListBullet2"/>
      </w:pPr>
      <w:r w:rsidRPr="00B313A6">
        <w:t>direct debit</w:t>
      </w:r>
    </w:p>
    <w:p w:rsidR="00000000" w:rsidRPr="00B313A6" w:rsidP="00B313A6">
      <w:pPr>
        <w:pStyle w:val="ListBullet2"/>
      </w:pPr>
      <w:r w:rsidRPr="00B313A6">
        <w:t>cheque</w:t>
      </w:r>
    </w:p>
    <w:p w:rsidR="00000000" w:rsidRPr="00B313A6" w:rsidP="00B313A6">
      <w:pPr>
        <w:pStyle w:val="ListBullet2"/>
      </w:pPr>
      <w:r w:rsidRPr="00B313A6">
        <w:t>cash</w:t>
      </w:r>
    </w:p>
    <w:p w:rsidR="00000000" w:rsidRPr="00B313A6" w:rsidP="00B313A6">
      <w:pPr>
        <w:pStyle w:val="ListBullet"/>
      </w:pPr>
      <w:r w:rsidRPr="00B313A6">
        <w:t>analysing business finances:</w:t>
      </w:r>
    </w:p>
    <w:p w:rsidR="00000000" w:rsidRPr="00B313A6" w:rsidP="00B313A6">
      <w:pPr>
        <w:pStyle w:val="ListBullet2"/>
      </w:pPr>
      <w:r w:rsidRPr="00B313A6">
        <w:t>financial health check</w:t>
      </w:r>
    </w:p>
    <w:p w:rsidR="00000000" w:rsidRPr="00B313A6" w:rsidP="00B313A6">
      <w:pPr>
        <w:pStyle w:val="ListBullet2"/>
      </w:pPr>
      <w:r w:rsidRPr="00B313A6">
        <w:t>sales calculators</w:t>
      </w:r>
    </w:p>
    <w:p w:rsidR="00000000" w:rsidRPr="00B313A6" w:rsidP="00B313A6">
      <w:pPr>
        <w:pStyle w:val="ListBullet2"/>
      </w:pPr>
      <w:r w:rsidRPr="00B313A6">
        <w:t>profit ratios</w:t>
      </w:r>
    </w:p>
    <w:p w:rsidR="00000000" w:rsidRPr="00B313A6" w:rsidP="00B313A6">
      <w:pPr>
        <w:pStyle w:val="ListBullet2"/>
      </w:pPr>
      <w:r w:rsidRPr="00B313A6">
        <w:t>liquidity and finance ratios</w:t>
      </w:r>
    </w:p>
    <w:p w:rsidR="00000000" w:rsidRPr="00B313A6" w:rsidP="00B313A6">
      <w:pPr>
        <w:pStyle w:val="ListBullet"/>
      </w:pPr>
      <w:r w:rsidRPr="00B313A6">
        <w:t>options to improve business financial position:</w:t>
      </w:r>
    </w:p>
    <w:p w:rsidR="00000000" w:rsidRPr="00B313A6" w:rsidP="00B313A6">
      <w:pPr>
        <w:pStyle w:val="ListBullet2"/>
      </w:pPr>
      <w:r w:rsidRPr="00B313A6">
        <w:t>recover outstanding debt</w:t>
      </w:r>
    </w:p>
    <w:p w:rsidR="00000000" w:rsidRPr="00B313A6" w:rsidP="00B313A6">
      <w:pPr>
        <w:pStyle w:val="ListBullet2"/>
      </w:pPr>
      <w:r w:rsidRPr="00B313A6">
        <w:t>reduce or rearrange expenses</w:t>
      </w:r>
    </w:p>
    <w:p w:rsidR="00000000" w:rsidRPr="00B313A6" w:rsidP="00B313A6">
      <w:pPr>
        <w:pStyle w:val="ListBullet2"/>
      </w:pPr>
      <w:r w:rsidRPr="00B313A6">
        <w:t>sell assets</w:t>
      </w:r>
    </w:p>
    <w:p w:rsidR="00000000" w:rsidRPr="00B313A6" w:rsidP="00B313A6">
      <w:pPr>
        <w:pStyle w:val="ListBullet2"/>
      </w:pPr>
      <w:r w:rsidRPr="00B313A6">
        <w:t>increase prices</w:t>
      </w:r>
    </w:p>
    <w:p w:rsidR="00000000" w:rsidRPr="00B313A6" w:rsidP="00B313A6">
      <w:pPr>
        <w:pStyle w:val="ListBullet2"/>
      </w:pPr>
      <w:r w:rsidRPr="00B313A6">
        <w:t>consolidate debt</w:t>
      </w:r>
    </w:p>
    <w:p w:rsidR="00000000" w:rsidRPr="00B313A6" w:rsidP="00B313A6">
      <w:pPr>
        <w:pStyle w:val="ListBullet2"/>
      </w:pPr>
      <w:r w:rsidRPr="00B313A6">
        <w:t>track and improve cash flow</w:t>
      </w:r>
    </w:p>
    <w:p w:rsidR="00000000" w:rsidRPr="00B313A6" w:rsidP="00B313A6">
      <w:pPr>
        <w:pStyle w:val="ListBullet"/>
      </w:pPr>
      <w:r w:rsidRPr="00B313A6">
        <w:t>insurance policies:</w:t>
      </w:r>
    </w:p>
    <w:p w:rsidR="00000000" w:rsidRPr="00B313A6" w:rsidP="00B313A6">
      <w:pPr>
        <w:pStyle w:val="ListBullet2"/>
      </w:pPr>
      <w:r w:rsidRPr="00B313A6">
        <w:t>public liability</w:t>
      </w:r>
    </w:p>
    <w:p w:rsidR="00000000" w:rsidRPr="00B313A6" w:rsidP="00B313A6">
      <w:pPr>
        <w:pStyle w:val="ListBullet2"/>
      </w:pPr>
      <w:r w:rsidRPr="00B313A6">
        <w:t>builders’ risk</w:t>
      </w:r>
    </w:p>
    <w:p w:rsidR="00000000" w:rsidRPr="00B313A6" w:rsidP="00B313A6">
      <w:pPr>
        <w:pStyle w:val="ListBullet2"/>
      </w:pPr>
      <w:r w:rsidRPr="00B313A6">
        <w:t>income loss</w:t>
      </w:r>
    </w:p>
    <w:p w:rsidR="00000000" w:rsidRPr="00B313A6" w:rsidP="00B313A6">
      <w:pPr>
        <w:pStyle w:val="ListBullet2"/>
      </w:pPr>
      <w:r w:rsidRPr="00B313A6">
        <w:t>workers compensation</w:t>
      </w:r>
    </w:p>
    <w:p w:rsidR="00000000" w:rsidRPr="00B313A6" w:rsidP="00B313A6">
      <w:pPr>
        <w:pStyle w:val="ListBullet2"/>
      </w:pPr>
      <w:r w:rsidRPr="00B313A6">
        <w:t xml:space="preserve">commercial vehicles </w:t>
      </w:r>
    </w:p>
    <w:p w:rsidR="00000000" w:rsidRPr="00B313A6" w:rsidP="00B313A6">
      <w:pPr>
        <w:pStyle w:val="ListBullet"/>
      </w:pPr>
      <w:r w:rsidRPr="00B313A6">
        <w:t xml:space="preserve">contractual financial arrangements: </w:t>
      </w:r>
    </w:p>
    <w:p w:rsidR="00000000" w:rsidRPr="00B313A6" w:rsidP="00B313A6">
      <w:pPr>
        <w:pStyle w:val="ListBullet2"/>
      </w:pPr>
      <w:r w:rsidRPr="00B313A6">
        <w:t>payment subject to quality of work</w:t>
      </w:r>
    </w:p>
    <w:p w:rsidR="00000000" w:rsidRPr="00B313A6" w:rsidP="00B313A6">
      <w:pPr>
        <w:pStyle w:val="ListBullet2"/>
      </w:pPr>
      <w:r w:rsidRPr="00B313A6">
        <w:t>product quality and compliance</w:t>
      </w:r>
    </w:p>
    <w:p w:rsidR="00000000" w:rsidRPr="00B313A6" w:rsidP="00B313A6">
      <w:pPr>
        <w:pStyle w:val="ListBullet2"/>
      </w:pPr>
      <w:r w:rsidRPr="00B313A6">
        <w:t>terms and conditions of payment.</w:t>
      </w:r>
    </w:p>
    <w:p w:rsidR="00000000" w:rsidRPr="00B313A6" w:rsidP="00B313A6">
      <w:pPr>
        <w:pStyle w:val="AllowPageBreak"/>
      </w:pPr>
    </w:p>
    <w:p w:rsidR="00000000" w:rsidRPr="00B313A6" w:rsidP="00B313A6">
      <w:pPr>
        <w:pStyle w:val="Heading1"/>
      </w:pPr>
      <w:bookmarkStart w:id="4" w:name="O_1293893"/>
      <w:bookmarkEnd w:id="4"/>
      <w:r w:rsidRPr="00B313A6">
        <w:t>Assessment Co</w:t>
      </w:r>
      <w:r w:rsidRPr="00B313A6">
        <w:t>nditions</w:t>
      </w:r>
    </w:p>
    <w:p w:rsidR="00000000" w:rsidRPr="00B313A6" w:rsidP="00304A21">
      <w:pPr>
        <w:pStyle w:val="BodyText"/>
      </w:pPr>
      <w:r w:rsidRPr="00B313A6">
        <w:t xml:space="preserve">Assessors must meet the requirements for assessors contained in the Standards for Registered Training Organisations. </w:t>
      </w:r>
    </w:p>
    <w:p w:rsidR="00000000" w:rsidRPr="00B313A6" w:rsidP="00304A21">
      <w:pPr>
        <w:pStyle w:val="BodyText"/>
      </w:pPr>
      <w:r w:rsidRPr="00B313A6">
        <w:t xml:space="preserve">Assessment can be undertaken in the workplace or in a simulated workplace environment. </w:t>
      </w:r>
    </w:p>
    <w:p w:rsidR="00000000" w:rsidRPr="00B313A6" w:rsidP="00304A21">
      <w:pPr>
        <w:pStyle w:val="BodyText"/>
      </w:pPr>
      <w:r w:rsidRPr="00B313A6">
        <w:t xml:space="preserve">A simulated environment is one that realistically replicates workplace conditions, materials and equipment, interactions with others and workplace irregularities, and which meets industry standards for safety and environmental practices.  </w:t>
      </w:r>
    </w:p>
    <w:p w:rsidR="00000000" w:rsidRPr="00B313A6" w:rsidP="00304A21">
      <w:pPr>
        <w:pStyle w:val="BodyText"/>
      </w:pPr>
      <w:r w:rsidRPr="00B313A6">
        <w:t xml:space="preserve">Candidates must </w:t>
      </w:r>
      <w:r w:rsidRPr="00B313A6">
        <w:t>have access to:</w:t>
      </w:r>
    </w:p>
    <w:p w:rsidR="00000000" w:rsidRPr="00B313A6" w:rsidP="00B313A6">
      <w:pPr>
        <w:pStyle w:val="ListBullet"/>
      </w:pPr>
      <w:r w:rsidRPr="00B313A6">
        <w:t>financial documentation and other quality documentation to undertake the performance criteria and assessment requirements</w:t>
      </w:r>
    </w:p>
    <w:p w:rsidR="00000000" w:rsidRPr="00B313A6" w:rsidP="00B313A6">
      <w:pPr>
        <w:pStyle w:val="ListBullet"/>
      </w:pPr>
      <w:r w:rsidRPr="00B313A6">
        <w:t>digital devices, applications and software to monitor, manage and record business finances</w:t>
      </w:r>
    </w:p>
    <w:p w:rsidR="00000000" w:rsidRPr="00B313A6" w:rsidP="00B313A6">
      <w:pPr>
        <w:pStyle w:val="ListBullet"/>
      </w:pPr>
      <w:r w:rsidRPr="00B313A6">
        <w:t>government business legisl</w:t>
      </w:r>
      <w:r w:rsidRPr="00B313A6">
        <w:t>ation.</w:t>
      </w:r>
    </w:p>
    <w:p w:rsidR="00000000" w:rsidRPr="00B313A6" w:rsidP="00B313A6">
      <w:pPr>
        <w:pStyle w:val="AllowPageBreak"/>
      </w:pPr>
    </w:p>
    <w:p w:rsidR="00000000" w:rsidRPr="00B313A6" w:rsidP="00B313A6">
      <w:pPr>
        <w:pStyle w:val="Heading1"/>
      </w:pPr>
      <w:bookmarkStart w:id="5" w:name="O_1293906"/>
      <w:bookmarkEnd w:id="5"/>
      <w:r w:rsidRPr="00B313A6">
        <w:t>Links</w:t>
      </w:r>
    </w:p>
    <w:p w:rsidR="00000000" w:rsidRPr="00B313A6" w:rsidP="00304A21">
      <w:pPr>
        <w:pStyle w:val="BodyText"/>
      </w:pPr>
      <w:r w:rsidRPr="00B313A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B453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313A6" w:rsidP="00B313A6"/>
    <w:sectPr w:rsidSect="00B313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3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3A6" w:rsidRPr="00304A21" w:rsidP="00304A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3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A21" w:rsidP="00B313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4A21" w:rsidP="00B313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04A21" w:rsidP="00B313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3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A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13A6" w:rsidRPr="00304A21" w:rsidP="00304A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3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A21" w:rsidRPr="002D2AF8" w:rsidP="00B313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CPCCBC5019 Manage building and construction business finances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04A21" w:rsidP="00B313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8EA9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666A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F022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3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13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13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13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13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13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13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13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13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13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13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13A6"/>
  </w:style>
  <w:style w:type="character" w:customStyle="1" w:styleId="Heading1Char">
    <w:name w:val="Heading 1 Char"/>
    <w:basedOn w:val="DefaultParagraphFont"/>
    <w:link w:val="Heading1"/>
    <w:rsid w:val="00B313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13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13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13A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13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13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13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13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13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13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13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13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13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13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13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13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13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13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13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13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13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13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13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13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13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13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13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13A6"/>
    <w:rPr>
      <w:b/>
      <w:spacing w:val="0"/>
    </w:rPr>
  </w:style>
  <w:style w:type="paragraph" w:customStyle="1" w:styleId="SuperTitle">
    <w:name w:val="SuperTitle"/>
    <w:basedOn w:val="Title"/>
    <w:rsid w:val="00B313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13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13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13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13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13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13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13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13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13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13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13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13A6"/>
    <w:rPr>
      <w:i/>
    </w:rPr>
  </w:style>
  <w:style w:type="paragraph" w:styleId="Caption">
    <w:name w:val="caption"/>
    <w:basedOn w:val="BodyText"/>
    <w:next w:val="Normal"/>
    <w:qFormat/>
    <w:rsid w:val="00B313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13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13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13A6"/>
  </w:style>
  <w:style w:type="paragraph" w:styleId="TableofFigures">
    <w:name w:val="table of figures"/>
    <w:basedOn w:val="Normal"/>
    <w:next w:val="Normal"/>
    <w:semiHidden/>
    <w:rsid w:val="00B313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13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13A6"/>
    <w:rPr>
      <w:rFonts w:ascii="Wingdings" w:hAnsi="Wingdings"/>
    </w:rPr>
  </w:style>
  <w:style w:type="paragraph" w:customStyle="1" w:styleId="TableHeading">
    <w:name w:val="Table Heading"/>
    <w:basedOn w:val="HeadingBase"/>
    <w:rsid w:val="00B313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13A6"/>
    <w:rPr>
      <w:color w:val="0033CC"/>
      <w:u w:val="none"/>
    </w:rPr>
  </w:style>
  <w:style w:type="paragraph" w:customStyle="1" w:styleId="BodyTextRight">
    <w:name w:val="Body Text Right"/>
    <w:basedOn w:val="BodyText"/>
    <w:rsid w:val="00B313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13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13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13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13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13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13A6"/>
    <w:rPr>
      <w:sz w:val="32"/>
    </w:rPr>
  </w:style>
  <w:style w:type="paragraph" w:customStyle="1" w:styleId="HeadingProcedure">
    <w:name w:val="Heading Procedure"/>
    <w:basedOn w:val="HeadingBase"/>
    <w:next w:val="Normal"/>
    <w:rsid w:val="00B313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13A6"/>
    <w:pPr>
      <w:spacing w:before="60" w:after="60"/>
    </w:pPr>
  </w:style>
  <w:style w:type="paragraph" w:styleId="ListContinue">
    <w:name w:val="List Continue"/>
    <w:basedOn w:val="List"/>
    <w:rsid w:val="00B313A6"/>
    <w:pPr>
      <w:ind w:firstLine="0"/>
    </w:pPr>
  </w:style>
  <w:style w:type="paragraph" w:customStyle="1" w:styleId="ListNote">
    <w:name w:val="List Note"/>
    <w:basedOn w:val="List"/>
    <w:rsid w:val="00B313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13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13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13A6"/>
    <w:rPr>
      <w:rFonts w:ascii="Courier New" w:hAnsi="Courier New"/>
    </w:rPr>
  </w:style>
  <w:style w:type="paragraph" w:customStyle="1" w:styleId="NoteBullet">
    <w:name w:val="Note Bullet"/>
    <w:basedOn w:val="Note"/>
    <w:rsid w:val="00B313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13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13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13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13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13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13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13A6"/>
    <w:rPr>
      <w:b/>
      <w:smallCaps/>
    </w:rPr>
  </w:style>
  <w:style w:type="paragraph" w:customStyle="1" w:styleId="TableListNumber">
    <w:name w:val="Table List Number"/>
    <w:basedOn w:val="ListNumber"/>
    <w:rsid w:val="00B313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13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13A6"/>
    <w:pPr>
      <w:numPr>
        <w:numId w:val="9"/>
      </w:numPr>
    </w:pPr>
  </w:style>
  <w:style w:type="paragraph" w:customStyle="1" w:styleId="ListAlpha2">
    <w:name w:val="List Alpha 2"/>
    <w:basedOn w:val="List2"/>
    <w:rsid w:val="00B313A6"/>
    <w:pPr>
      <w:numPr>
        <w:numId w:val="8"/>
      </w:numPr>
    </w:pPr>
  </w:style>
  <w:style w:type="paragraph" w:styleId="List2">
    <w:name w:val="List 2"/>
    <w:basedOn w:val="BodyText"/>
    <w:rsid w:val="00B313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13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13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13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13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13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13A6"/>
    <w:pPr>
      <w:numPr>
        <w:numId w:val="4"/>
      </w:numPr>
    </w:pPr>
  </w:style>
  <w:style w:type="paragraph" w:styleId="ListContinue2">
    <w:name w:val="List Continue 2"/>
    <w:basedOn w:val="List2"/>
    <w:rsid w:val="00B313A6"/>
    <w:pPr>
      <w:ind w:firstLine="0"/>
    </w:pPr>
  </w:style>
  <w:style w:type="paragraph" w:styleId="ListContinue3">
    <w:name w:val="List Continue 3"/>
    <w:basedOn w:val="List3"/>
    <w:rsid w:val="00B313A6"/>
    <w:pPr>
      <w:ind w:left="1021" w:firstLine="0"/>
    </w:pPr>
  </w:style>
  <w:style w:type="paragraph" w:styleId="ListContinue4">
    <w:name w:val="List Continue 4"/>
    <w:basedOn w:val="List4"/>
    <w:rsid w:val="00B313A6"/>
    <w:pPr>
      <w:ind w:firstLine="0"/>
    </w:pPr>
  </w:style>
  <w:style w:type="paragraph" w:styleId="ListContinue5">
    <w:name w:val="List Continue 5"/>
    <w:basedOn w:val="List5"/>
    <w:rsid w:val="00B313A6"/>
    <w:pPr>
      <w:ind w:firstLine="0"/>
    </w:pPr>
  </w:style>
  <w:style w:type="paragraph" w:styleId="ListNumber3">
    <w:name w:val="List Number 3"/>
    <w:basedOn w:val="List3"/>
    <w:rsid w:val="00B313A6"/>
    <w:pPr>
      <w:numPr>
        <w:numId w:val="5"/>
      </w:numPr>
    </w:pPr>
  </w:style>
  <w:style w:type="paragraph" w:styleId="ListNumber4">
    <w:name w:val="List Number 4"/>
    <w:basedOn w:val="List4"/>
    <w:rsid w:val="00B313A6"/>
    <w:pPr>
      <w:numPr>
        <w:numId w:val="6"/>
      </w:numPr>
    </w:pPr>
  </w:style>
  <w:style w:type="paragraph" w:styleId="ListNumber5">
    <w:name w:val="List Number 5"/>
    <w:basedOn w:val="List5"/>
    <w:rsid w:val="00B313A6"/>
    <w:pPr>
      <w:numPr>
        <w:numId w:val="7"/>
      </w:numPr>
    </w:pPr>
  </w:style>
  <w:style w:type="paragraph" w:styleId="BlockText">
    <w:name w:val="Block Text"/>
    <w:basedOn w:val="Normal"/>
    <w:rsid w:val="00B313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13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13A6"/>
    <w:rPr>
      <w:sz w:val="16"/>
      <w:vertAlign w:val="superscript"/>
    </w:rPr>
  </w:style>
  <w:style w:type="character" w:customStyle="1" w:styleId="Symbols">
    <w:name w:val="Symbols"/>
    <w:basedOn w:val="DefaultParagraphFont"/>
    <w:rsid w:val="00B313A6"/>
    <w:rPr>
      <w:rFonts w:ascii="Symbol" w:hAnsi="Symbol"/>
    </w:rPr>
  </w:style>
  <w:style w:type="character" w:customStyle="1" w:styleId="MenuOptions">
    <w:name w:val="Menu Options"/>
    <w:basedOn w:val="DefaultParagraphFont"/>
    <w:rsid w:val="00B313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13A6"/>
    <w:rPr>
      <w:b/>
    </w:rPr>
  </w:style>
  <w:style w:type="character" w:customStyle="1" w:styleId="Underlined">
    <w:name w:val="Underlined"/>
    <w:basedOn w:val="DefaultParagraphFont"/>
    <w:rsid w:val="00B313A6"/>
    <w:rPr>
      <w:u w:val="single"/>
    </w:rPr>
  </w:style>
  <w:style w:type="paragraph" w:customStyle="1" w:styleId="TableBodyTextRight">
    <w:name w:val="Table Body Text Right"/>
    <w:basedOn w:val="TableBodyText"/>
    <w:rsid w:val="00B313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13A6"/>
    <w:rPr>
      <w:sz w:val="18"/>
    </w:rPr>
  </w:style>
  <w:style w:type="paragraph" w:customStyle="1" w:styleId="BodySmallRight">
    <w:name w:val="Body Small Right"/>
    <w:basedOn w:val="BodyTextRight"/>
    <w:rsid w:val="00B313A6"/>
    <w:rPr>
      <w:sz w:val="18"/>
      <w:szCs w:val="18"/>
    </w:rPr>
  </w:style>
  <w:style w:type="paragraph" w:customStyle="1" w:styleId="MarginEdition">
    <w:name w:val="Margin Edition"/>
    <w:basedOn w:val="MarginNote"/>
    <w:rsid w:val="00B313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13A6"/>
    <w:rPr>
      <w:sz w:val="2"/>
      <w:szCs w:val="2"/>
    </w:rPr>
  </w:style>
  <w:style w:type="character" w:customStyle="1" w:styleId="Small">
    <w:name w:val="Small"/>
    <w:basedOn w:val="DefaultParagraphFont"/>
    <w:rsid w:val="00B313A6"/>
    <w:rPr>
      <w:sz w:val="16"/>
    </w:rPr>
  </w:style>
  <w:style w:type="paragraph" w:customStyle="1" w:styleId="WideTable">
    <w:name w:val="Wide Table"/>
    <w:basedOn w:val="Normal"/>
    <w:rsid w:val="00B313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13A6"/>
  </w:style>
  <w:style w:type="paragraph" w:styleId="Quote">
    <w:name w:val="Quote"/>
    <w:basedOn w:val="Heading1"/>
    <w:link w:val="QuoteChar"/>
    <w:qFormat/>
    <w:rsid w:val="00B313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13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13A6"/>
    <w:pPr>
      <w:pageBreakBefore/>
    </w:pPr>
  </w:style>
  <w:style w:type="paragraph" w:customStyle="1" w:styleId="Border">
    <w:name w:val="Border"/>
    <w:basedOn w:val="Normal"/>
    <w:qFormat/>
    <w:rsid w:val="00B313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13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3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3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13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13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13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13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13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13A6"/>
    <w:rPr>
      <w:u w:val="single"/>
    </w:rPr>
  </w:style>
  <w:style w:type="character" w:customStyle="1" w:styleId="BoldandItalics">
    <w:name w:val="Bold and Italics"/>
    <w:qFormat/>
    <w:rsid w:val="00B313A6"/>
    <w:rPr>
      <w:b/>
      <w:i/>
      <w:u w:val="none"/>
    </w:rPr>
  </w:style>
  <w:style w:type="paragraph" w:styleId="BalloonText">
    <w:name w:val="Balloon Text"/>
    <w:basedOn w:val="Normal"/>
    <w:link w:val="BalloonTextChar"/>
    <w:rsid w:val="00B313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13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13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13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13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13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13A6"/>
    <w:pPr>
      <w:spacing w:before="0" w:after="0"/>
    </w:pPr>
  </w:style>
  <w:style w:type="paragraph" w:customStyle="1" w:styleId="BodyTextBold">
    <w:name w:val="Body Text Bold"/>
    <w:basedOn w:val="BodyText"/>
    <w:qFormat/>
    <w:rsid w:val="00B313A6"/>
    <w:rPr>
      <w:b/>
    </w:rPr>
  </w:style>
  <w:style w:type="character" w:styleId="Hyperlink">
    <w:name w:val="Hyperlink"/>
    <w:basedOn w:val="DefaultParagraphFont"/>
    <w:uiPriority w:val="99"/>
    <w:unhideWhenUsed/>
    <w:rsid w:val="00304A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458</Words>
  <Characters>3099</Characters>
  <Application>Microsoft Office Word</Application>
  <DocSecurity>0</DocSecurity>
  <Lines>106</Lines>
  <Paragraphs>96</Paragraphs>
  <ScaleCrop>false</ScaleCrop>
  <Company>Author-it Software Corporation Ltd.</Company>
  <LinksUpToDate>false</LinksUpToDate>
  <CharactersWithSpaces>3461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CPCCBC5019 Manage building and construction business finances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2024-12-24T00:52:00Z</dcterms:created>
  <dcterms:modified xsi:type="dcterms:W3CDTF">2024-12-24T00:52:00Z</dcterms:modified>
</cp:coreProperties>
</file>