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6DFF" w:rsidP="00B16D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CPCCBC5012 Manage the application and monitoring of energy conservation and management practices and processes</w:t>
      </w:r>
      <w:r>
        <w:fldChar w:fldCharType="end"/>
      </w:r>
    </w:p>
    <w:p w:rsidR="00B16DFF" w:rsidP="00B16DFF">
      <w:pPr>
        <w:pStyle w:val="Version"/>
        <w:sectPr w:rsidSect="003C7A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7AC8" w:rsidP="003C7AC8">
      <w:pPr>
        <w:pStyle w:val="SuperHeading"/>
      </w:pPr>
      <w:r w:rsidRPr="003C7AC8">
        <w:t>Assessment Requirements for CPCCBC5012 Manage the application and monitoring of energy conservation and management practices and processes</w:t>
      </w:r>
    </w:p>
    <w:p w:rsidR="00000000" w:rsidRPr="003C7AC8" w:rsidP="003C7AC8">
      <w:pPr>
        <w:pStyle w:val="Heading1"/>
      </w:pPr>
      <w:bookmarkStart w:id="1" w:name="O_1293848"/>
      <w:bookmarkEnd w:id="1"/>
      <w:r w:rsidRPr="003C7AC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3C7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C8">
            <w:pPr>
              <w:pStyle w:val="BodyText"/>
              <w:rPr>
                <w:lang w:val="en-NZ"/>
              </w:rPr>
            </w:pPr>
            <w:r w:rsidRPr="003C7AC8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C8">
            <w:pPr>
              <w:pStyle w:val="BodyText"/>
              <w:rPr>
                <w:lang w:val="en-NZ"/>
              </w:rPr>
            </w:pPr>
            <w:r w:rsidRPr="003C7AC8">
              <w:t>Updated reference to general construction induction training program.</w:t>
            </w:r>
          </w:p>
        </w:tc>
      </w:tr>
      <w:tr w:rsidTr="003C7A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AC8">
            <w:pPr>
              <w:pStyle w:val="BodyText"/>
              <w:rPr>
                <w:lang w:val="en-NZ"/>
              </w:rPr>
            </w:pPr>
            <w:r w:rsidRPr="003C7AC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AC8" w:rsidP="003C7AC8">
            <w:pPr>
              <w:pStyle w:val="BodyText"/>
            </w:pPr>
            <w:r w:rsidRPr="003C7AC8">
              <w:t>This version first released with CPC Construction, Plumbing and Services Training Package Release 5.0.</w:t>
            </w:r>
          </w:p>
          <w:p w:rsidR="00000000" w:rsidRPr="003C7AC8" w:rsidP="003C7AC8">
            <w:pPr>
              <w:pStyle w:val="BodyText"/>
            </w:pPr>
            <w:r w:rsidRPr="003C7AC8">
              <w:t>Supersedes and is equivalent to CPCCBC5012A Manage the application and m</w:t>
            </w:r>
            <w:r w:rsidRPr="003C7AC8">
              <w:t>onitoring of energy conservation and management practices and processes.  Updated to meet the Standards for Training Packages 2012.</w:t>
            </w:r>
          </w:p>
        </w:tc>
      </w:tr>
    </w:tbl>
    <w:p w:rsidR="00000000" w:rsidRPr="003C7AC8" w:rsidP="003C7AC8">
      <w:pPr>
        <w:pStyle w:val="BodyText"/>
      </w:pPr>
    </w:p>
    <w:p w:rsidR="00000000" w:rsidRPr="003C7AC8" w:rsidP="003C7AC8">
      <w:pPr>
        <w:pStyle w:val="AllowPageBreak"/>
      </w:pPr>
    </w:p>
    <w:p w:rsidR="00000000" w:rsidRPr="003C7AC8" w:rsidP="003C7AC8">
      <w:pPr>
        <w:pStyle w:val="Heading1"/>
      </w:pPr>
      <w:bookmarkStart w:id="2" w:name="O_1293847"/>
      <w:bookmarkEnd w:id="2"/>
      <w:r w:rsidRPr="003C7AC8">
        <w:t>Performance Evidence</w:t>
      </w:r>
    </w:p>
    <w:p w:rsidR="00000000" w:rsidRPr="003C7AC8" w:rsidP="00B16DFF">
      <w:pPr>
        <w:pStyle w:val="BodyText"/>
      </w:pPr>
      <w:r w:rsidRPr="003C7AC8">
        <w:t xml:space="preserve">To demonstrate competency, a candidate must meet the performance criteria of this </w:t>
      </w:r>
      <w:r w:rsidRPr="003C7AC8">
        <w:t>unit by developing, implementing and monitoring effective energy conservation and management action plans and strategies for one building and construction project.</w:t>
      </w:r>
    </w:p>
    <w:p w:rsidR="00000000" w:rsidRPr="003C7AC8" w:rsidP="00B16DFF">
      <w:pPr>
        <w:pStyle w:val="BodyText"/>
      </w:pPr>
      <w:r w:rsidRPr="003C7AC8">
        <w:t>In doing this, the candidate must:</w:t>
      </w:r>
    </w:p>
    <w:p w:rsidR="00000000" w:rsidRPr="003C7AC8" w:rsidP="003C7AC8">
      <w:pPr>
        <w:pStyle w:val="ListBullet"/>
      </w:pPr>
      <w:r w:rsidRPr="003C7AC8">
        <w:t>research current trends in energy conservation and manag</w:t>
      </w:r>
      <w:r w:rsidRPr="003C7AC8">
        <w:t>ement</w:t>
      </w:r>
    </w:p>
    <w:p w:rsidR="00000000" w:rsidRPr="003C7AC8" w:rsidP="003C7AC8">
      <w:pPr>
        <w:pStyle w:val="ListBullet"/>
      </w:pPr>
      <w:r w:rsidRPr="003C7AC8">
        <w:t>monitor and record effectiveness, efficiency and compliance of the organisation’s standards and identify areas for improvement</w:t>
      </w:r>
    </w:p>
    <w:p w:rsidR="00000000" w:rsidRPr="003C7AC8" w:rsidP="003C7AC8">
      <w:pPr>
        <w:pStyle w:val="ListBullet"/>
      </w:pPr>
      <w:r w:rsidRPr="003C7AC8">
        <w:t>conform to relevant environmental and sustainability legislation, regulations and requirements.</w:t>
      </w:r>
    </w:p>
    <w:p w:rsidR="00000000" w:rsidRPr="003C7AC8" w:rsidP="003C7AC8">
      <w:pPr>
        <w:pStyle w:val="AllowPageBreak"/>
      </w:pPr>
    </w:p>
    <w:p w:rsidR="00000000" w:rsidRPr="003C7AC8" w:rsidP="003C7AC8">
      <w:pPr>
        <w:pStyle w:val="Heading1"/>
      </w:pPr>
      <w:bookmarkStart w:id="3" w:name="O_1293846"/>
      <w:bookmarkEnd w:id="3"/>
      <w:r w:rsidRPr="003C7AC8">
        <w:t>Knowledge Evidence</w:t>
      </w:r>
    </w:p>
    <w:p w:rsidR="00000000" w:rsidRPr="003C7AC8" w:rsidP="00B16DFF">
      <w:pPr>
        <w:pStyle w:val="BodyText"/>
      </w:pPr>
      <w:r w:rsidRPr="003C7AC8">
        <w:t>To be competent in this unit, a candidate must demonstrate knowledge of:</w:t>
      </w:r>
    </w:p>
    <w:p w:rsidR="00000000" w:rsidRPr="003C7AC8" w:rsidP="003C7AC8">
      <w:pPr>
        <w:pStyle w:val="ListBullet"/>
      </w:pPr>
      <w:r w:rsidRPr="003C7AC8">
        <w:t>environmental and sustainability requirements</w:t>
      </w:r>
    </w:p>
    <w:p w:rsidR="00000000" w:rsidRPr="003C7AC8" w:rsidP="003C7AC8">
      <w:pPr>
        <w:pStyle w:val="ListBullet"/>
      </w:pPr>
      <w:r w:rsidRPr="003C7AC8">
        <w:t>development, application and monitoring of energy conservation plans:</w:t>
      </w:r>
    </w:p>
    <w:p w:rsidR="00000000" w:rsidRPr="003C7AC8" w:rsidP="003C7AC8">
      <w:pPr>
        <w:pStyle w:val="ListBullet2"/>
      </w:pPr>
      <w:r w:rsidRPr="003C7AC8">
        <w:t>gathering and evaluating formal or informal in</w:t>
      </w:r>
      <w:r w:rsidRPr="003C7AC8">
        <w:t>formation and data</w:t>
      </w:r>
    </w:p>
    <w:p w:rsidR="00000000" w:rsidRPr="003C7AC8" w:rsidP="003C7AC8">
      <w:pPr>
        <w:pStyle w:val="ListBullet2"/>
      </w:pPr>
      <w:r w:rsidRPr="003C7AC8">
        <w:t>researching current energy conservation trends and factors</w:t>
      </w:r>
    </w:p>
    <w:p w:rsidR="00000000" w:rsidRPr="003C7AC8" w:rsidP="003C7AC8">
      <w:pPr>
        <w:pStyle w:val="ListBullet2"/>
      </w:pPr>
      <w:r w:rsidRPr="003C7AC8">
        <w:t>energy management practices and methodologies</w:t>
      </w:r>
    </w:p>
    <w:p w:rsidR="00000000" w:rsidRPr="003C7AC8" w:rsidP="003C7AC8">
      <w:pPr>
        <w:pStyle w:val="ListBullet2"/>
      </w:pPr>
      <w:r w:rsidRPr="003C7AC8">
        <w:t>conformance, milestones and performance targets</w:t>
      </w:r>
    </w:p>
    <w:p w:rsidR="00000000" w:rsidRPr="003C7AC8" w:rsidP="003C7AC8">
      <w:pPr>
        <w:pStyle w:val="ListBullet"/>
      </w:pPr>
      <w:r w:rsidRPr="003C7AC8">
        <w:t xml:space="preserve">energy data-gathering systems: </w:t>
      </w:r>
      <w:r w:rsidRPr="003C7AC8">
        <w:tab/>
      </w:r>
    </w:p>
    <w:p w:rsidR="00000000" w:rsidRPr="003C7AC8" w:rsidP="003C7AC8">
      <w:pPr>
        <w:pStyle w:val="ListBullet2"/>
      </w:pPr>
      <w:r w:rsidRPr="003C7AC8">
        <w:t>reports from suppliers</w:t>
      </w:r>
    </w:p>
    <w:p w:rsidR="00000000" w:rsidRPr="003C7AC8" w:rsidP="003C7AC8">
      <w:pPr>
        <w:pStyle w:val="ListBullet2"/>
      </w:pPr>
      <w:r w:rsidRPr="003C7AC8">
        <w:t>scheduled management meetings and briefings</w:t>
      </w:r>
    </w:p>
    <w:p w:rsidR="00000000" w:rsidRPr="003C7AC8" w:rsidP="003C7AC8">
      <w:pPr>
        <w:pStyle w:val="ListBullet2"/>
      </w:pPr>
      <w:r w:rsidRPr="003C7AC8">
        <w:t>statistical and analytical data supporting energy objectives</w:t>
      </w:r>
    </w:p>
    <w:p w:rsidR="00000000" w:rsidRPr="003C7AC8" w:rsidP="003C7AC8">
      <w:pPr>
        <w:pStyle w:val="ListBullet2"/>
      </w:pPr>
      <w:r w:rsidRPr="003C7AC8">
        <w:t>feedback from authorities</w:t>
      </w:r>
    </w:p>
    <w:p w:rsidR="00000000" w:rsidRPr="003C7AC8" w:rsidP="003C7AC8">
      <w:pPr>
        <w:pStyle w:val="ListBullet2"/>
      </w:pPr>
      <w:r w:rsidRPr="003C7AC8">
        <w:t>spot checks on aspects of energy management process</w:t>
      </w:r>
    </w:p>
    <w:p w:rsidR="00000000" w:rsidRPr="003C7AC8" w:rsidP="003C7AC8">
      <w:pPr>
        <w:pStyle w:val="ListBullet"/>
      </w:pPr>
      <w:r w:rsidRPr="003C7AC8">
        <w:t>benchmarking and best practice:</w:t>
      </w:r>
    </w:p>
    <w:p w:rsidR="00000000" w:rsidRPr="003C7AC8" w:rsidP="003C7AC8">
      <w:pPr>
        <w:pStyle w:val="ListBullet2"/>
      </w:pPr>
      <w:r w:rsidRPr="003C7AC8">
        <w:t>comparison of current, previously estab</w:t>
      </w:r>
      <w:r w:rsidRPr="003C7AC8">
        <w:t>lished and external energy conservation and management plans</w:t>
      </w:r>
    </w:p>
    <w:p w:rsidR="00000000" w:rsidRPr="003C7AC8" w:rsidP="003C7AC8">
      <w:pPr>
        <w:pStyle w:val="ListBullet2"/>
      </w:pPr>
      <w:r w:rsidRPr="003C7AC8">
        <w:t>costs associated with optimum environmental conformance</w:t>
      </w:r>
    </w:p>
    <w:p w:rsidR="00000000" w:rsidRPr="003C7AC8" w:rsidP="003C7AC8">
      <w:pPr>
        <w:pStyle w:val="ListBullet2"/>
      </w:pPr>
      <w:r w:rsidRPr="003C7AC8">
        <w:t>performance indicators against energy management objectives</w:t>
      </w:r>
    </w:p>
    <w:p w:rsidR="00000000" w:rsidRPr="003C7AC8" w:rsidP="003C7AC8">
      <w:pPr>
        <w:pStyle w:val="ListBullet2"/>
      </w:pPr>
      <w:r w:rsidRPr="003C7AC8">
        <w:t>performance measuring against industry, local authority, regulatory or internat</w:t>
      </w:r>
      <w:r w:rsidRPr="003C7AC8">
        <w:t>ional standards</w:t>
      </w:r>
    </w:p>
    <w:p w:rsidR="00000000" w:rsidRPr="003C7AC8" w:rsidP="003C7AC8">
      <w:pPr>
        <w:pStyle w:val="ListBullet2"/>
      </w:pPr>
      <w:r w:rsidRPr="003C7AC8">
        <w:t>energy targets, electrical power usage, fuel usage, heat loss and thermal efficiency</w:t>
      </w:r>
    </w:p>
    <w:p w:rsidR="00000000" w:rsidRPr="003C7AC8" w:rsidP="003C7AC8">
      <w:pPr>
        <w:pStyle w:val="ListBullet2"/>
      </w:pPr>
      <w:r w:rsidRPr="003C7AC8">
        <w:t>statistics of measurements from start, ongoing and at conclusion</w:t>
      </w:r>
    </w:p>
    <w:p w:rsidR="00000000" w:rsidRPr="003C7AC8" w:rsidP="003C7AC8">
      <w:pPr>
        <w:pStyle w:val="ListBullet"/>
      </w:pPr>
      <w:r w:rsidRPr="003C7AC8">
        <w:t>organisational policies and practices supporting energy conservation and management.</w:t>
      </w:r>
    </w:p>
    <w:p w:rsidR="00000000" w:rsidRPr="003C7AC8" w:rsidP="003C7AC8">
      <w:pPr>
        <w:pStyle w:val="AllowPageBreak"/>
      </w:pPr>
    </w:p>
    <w:p w:rsidR="00000000" w:rsidRPr="003C7AC8" w:rsidP="003C7AC8">
      <w:pPr>
        <w:pStyle w:val="Heading1"/>
      </w:pPr>
      <w:bookmarkStart w:id="4" w:name="O_1293845"/>
      <w:bookmarkEnd w:id="4"/>
      <w:r w:rsidRPr="003C7AC8">
        <w:t>Assessment Conditions</w:t>
      </w:r>
    </w:p>
    <w:p w:rsidR="00000000" w:rsidRPr="003C7AC8" w:rsidP="00B16DFF">
      <w:pPr>
        <w:pStyle w:val="BodyText"/>
      </w:pPr>
      <w:r w:rsidRPr="003C7AC8">
        <w:t xml:space="preserve">Assessors must meet the requirements for assessors contained in the Standards for Registered Training Organisations. </w:t>
      </w:r>
    </w:p>
    <w:p w:rsidR="00000000" w:rsidRPr="003C7AC8" w:rsidP="00B16DFF">
      <w:pPr>
        <w:pStyle w:val="BodyText"/>
      </w:pPr>
      <w:r w:rsidRPr="003C7AC8">
        <w:t xml:space="preserve">Assessment can be undertaken in the workplace or in a simulated workplace environment. </w:t>
      </w:r>
    </w:p>
    <w:p w:rsidR="00000000" w:rsidRPr="003C7AC8" w:rsidP="00B16DFF">
      <w:pPr>
        <w:pStyle w:val="BodyText"/>
      </w:pPr>
      <w:r w:rsidRPr="003C7AC8">
        <w:t>A simulate</w:t>
      </w:r>
      <w:r w:rsidRPr="003C7AC8">
        <w:t xml:space="preserve">d environment is one that realistically replicates workplace conditions, materials and equipment, interactions with others and workplace irregularities, and which meets industry standards for safety and environmental practices.   </w:t>
      </w:r>
    </w:p>
    <w:p w:rsidR="00000000" w:rsidRPr="003C7AC8" w:rsidP="00B16DFF">
      <w:pPr>
        <w:pStyle w:val="BodyText"/>
      </w:pPr>
      <w:r w:rsidRPr="003C7AC8">
        <w:t>Candidates must have acce</w:t>
      </w:r>
      <w:r w:rsidRPr="003C7AC8">
        <w:t>ss to:</w:t>
      </w:r>
    </w:p>
    <w:p w:rsidR="00000000" w:rsidRPr="003C7AC8" w:rsidP="003C7AC8">
      <w:pPr>
        <w:pStyle w:val="ListBullet"/>
      </w:pPr>
      <w:r w:rsidRPr="003C7AC8">
        <w:t>environmental legislation, regulations and local jurisdictional requirements</w:t>
      </w:r>
    </w:p>
    <w:p w:rsidR="00000000" w:rsidRPr="003C7AC8" w:rsidP="003C7AC8">
      <w:pPr>
        <w:pStyle w:val="ListBullet"/>
      </w:pPr>
      <w:r w:rsidRPr="003C7AC8">
        <w:t>government building legislation</w:t>
      </w:r>
    </w:p>
    <w:p w:rsidR="00000000" w:rsidRPr="003C7AC8" w:rsidP="003C7AC8">
      <w:pPr>
        <w:pStyle w:val="ListBullet"/>
      </w:pPr>
      <w:r w:rsidRPr="003C7AC8">
        <w:t xml:space="preserve">organisational energy data and costs and product manufactures energy specifications </w:t>
      </w:r>
    </w:p>
    <w:p w:rsidR="00000000" w:rsidRPr="003C7AC8" w:rsidP="003C7AC8">
      <w:pPr>
        <w:pStyle w:val="ListBullet"/>
      </w:pPr>
      <w:r w:rsidRPr="003C7AC8">
        <w:t>building and environmental codes and standards</w:t>
      </w:r>
    </w:p>
    <w:p w:rsidR="00000000" w:rsidRPr="003C7AC8" w:rsidP="003C7AC8">
      <w:pPr>
        <w:pStyle w:val="ListBullet"/>
      </w:pPr>
      <w:r w:rsidRPr="003C7AC8">
        <w:t>busines</w:t>
      </w:r>
      <w:r w:rsidRPr="003C7AC8">
        <w:t>s equipment and technology, applications and software to facilitate effective management of environmental practices and processes in building and construction.</w:t>
      </w:r>
    </w:p>
    <w:p w:rsidR="00000000" w:rsidRPr="003C7AC8" w:rsidP="003C7AC8">
      <w:pPr>
        <w:pStyle w:val="AllowPageBreak"/>
      </w:pPr>
    </w:p>
    <w:p w:rsidR="00000000" w:rsidRPr="003C7AC8" w:rsidP="003C7AC8">
      <w:pPr>
        <w:pStyle w:val="Heading1"/>
      </w:pPr>
      <w:bookmarkStart w:id="5" w:name="O_1293858"/>
      <w:bookmarkEnd w:id="5"/>
      <w:r w:rsidRPr="003C7AC8">
        <w:t>Links</w:t>
      </w:r>
    </w:p>
    <w:p w:rsidR="00000000" w:rsidRPr="003C7AC8" w:rsidP="00B16DFF">
      <w:pPr>
        <w:pStyle w:val="BodyText"/>
      </w:pPr>
      <w:r w:rsidRPr="003C7AC8">
        <w:t xml:space="preserve">Companion volumes to this training package are available at the VETNet </w:t>
      </w:r>
      <w:r w:rsidRPr="003C7AC8">
        <w:t xml:space="preserve">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50C7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C7AC8" w:rsidP="003C7AC8"/>
    <w:sectPr w:rsidSect="003C7A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A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AC8" w:rsidRPr="00B16DFF" w:rsidP="00B16D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A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FF" w:rsidP="003C7A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16DFF" w:rsidP="003C7A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B16DFF" w:rsidP="003C7A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A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AC8" w:rsidRPr="00B16DFF" w:rsidP="00B16D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A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DFF" w:rsidRPr="002D2AF8" w:rsidP="003C7A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CPCCBC5012 Manage the application and monitoring of energy conservation and management practices and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B16DFF" w:rsidP="003C7A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9E213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D24D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329B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A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A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A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A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A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A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A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A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A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A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A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AC8"/>
  </w:style>
  <w:style w:type="character" w:customStyle="1" w:styleId="Heading1Char">
    <w:name w:val="Heading 1 Char"/>
    <w:basedOn w:val="DefaultParagraphFont"/>
    <w:link w:val="Heading1"/>
    <w:rsid w:val="003C7A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A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A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7AC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C7AC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C7A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A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A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A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A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A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A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A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A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A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A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A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A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A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A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A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A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A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A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7A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AC8"/>
    <w:rPr>
      <w:b/>
      <w:spacing w:val="0"/>
    </w:rPr>
  </w:style>
  <w:style w:type="paragraph" w:customStyle="1" w:styleId="SuperTitle">
    <w:name w:val="SuperTitle"/>
    <w:basedOn w:val="Title"/>
    <w:rsid w:val="003C7A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A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A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7A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A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A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A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A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A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A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A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A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AC8"/>
    <w:rPr>
      <w:i/>
    </w:rPr>
  </w:style>
  <w:style w:type="paragraph" w:styleId="Caption">
    <w:name w:val="caption"/>
    <w:basedOn w:val="BodyText"/>
    <w:next w:val="Normal"/>
    <w:qFormat/>
    <w:rsid w:val="003C7A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A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A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AC8"/>
  </w:style>
  <w:style w:type="paragraph" w:styleId="TableofFigures">
    <w:name w:val="table of figures"/>
    <w:basedOn w:val="Normal"/>
    <w:next w:val="Normal"/>
    <w:semiHidden/>
    <w:rsid w:val="003C7A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AC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C7AC8"/>
    <w:rPr>
      <w:rFonts w:ascii="Wingdings" w:hAnsi="Wingdings"/>
    </w:rPr>
  </w:style>
  <w:style w:type="paragraph" w:customStyle="1" w:styleId="TableHeading">
    <w:name w:val="Table Heading"/>
    <w:basedOn w:val="HeadingBase"/>
    <w:rsid w:val="003C7A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AC8"/>
    <w:rPr>
      <w:color w:val="0033CC"/>
      <w:u w:val="none"/>
    </w:rPr>
  </w:style>
  <w:style w:type="paragraph" w:customStyle="1" w:styleId="BodyTextRight">
    <w:name w:val="Body Text Right"/>
    <w:basedOn w:val="BodyText"/>
    <w:rsid w:val="003C7A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A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AC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A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A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A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AC8"/>
    <w:rPr>
      <w:sz w:val="32"/>
    </w:rPr>
  </w:style>
  <w:style w:type="paragraph" w:customStyle="1" w:styleId="HeadingProcedure">
    <w:name w:val="Heading Procedure"/>
    <w:basedOn w:val="HeadingBase"/>
    <w:next w:val="Normal"/>
    <w:rsid w:val="003C7A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AC8"/>
    <w:pPr>
      <w:spacing w:before="60" w:after="60"/>
    </w:pPr>
  </w:style>
  <w:style w:type="paragraph" w:styleId="ListContinue">
    <w:name w:val="List Continue"/>
    <w:basedOn w:val="List"/>
    <w:rsid w:val="003C7AC8"/>
    <w:pPr>
      <w:ind w:firstLine="0"/>
    </w:pPr>
  </w:style>
  <w:style w:type="paragraph" w:customStyle="1" w:styleId="ListNote">
    <w:name w:val="List Note"/>
    <w:basedOn w:val="List"/>
    <w:rsid w:val="003C7A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A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A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AC8"/>
    <w:rPr>
      <w:rFonts w:ascii="Courier New" w:hAnsi="Courier New"/>
    </w:rPr>
  </w:style>
  <w:style w:type="paragraph" w:customStyle="1" w:styleId="NoteBullet">
    <w:name w:val="Note Bullet"/>
    <w:basedOn w:val="Note"/>
    <w:rsid w:val="003C7A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A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A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A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A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C7A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A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AC8"/>
    <w:rPr>
      <w:b/>
      <w:smallCaps/>
    </w:rPr>
  </w:style>
  <w:style w:type="paragraph" w:customStyle="1" w:styleId="TableListNumber">
    <w:name w:val="Table List Number"/>
    <w:basedOn w:val="ListNumber"/>
    <w:rsid w:val="003C7A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A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AC8"/>
    <w:pPr>
      <w:numPr>
        <w:numId w:val="9"/>
      </w:numPr>
    </w:pPr>
  </w:style>
  <w:style w:type="paragraph" w:customStyle="1" w:styleId="ListAlpha2">
    <w:name w:val="List Alpha 2"/>
    <w:basedOn w:val="List2"/>
    <w:rsid w:val="003C7AC8"/>
    <w:pPr>
      <w:numPr>
        <w:numId w:val="8"/>
      </w:numPr>
    </w:pPr>
  </w:style>
  <w:style w:type="paragraph" w:styleId="List2">
    <w:name w:val="List 2"/>
    <w:basedOn w:val="BodyText"/>
    <w:rsid w:val="003C7A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A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A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A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A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AC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C7AC8"/>
    <w:pPr>
      <w:numPr>
        <w:numId w:val="4"/>
      </w:numPr>
    </w:pPr>
  </w:style>
  <w:style w:type="paragraph" w:styleId="ListContinue2">
    <w:name w:val="List Continue 2"/>
    <w:basedOn w:val="List2"/>
    <w:rsid w:val="003C7AC8"/>
    <w:pPr>
      <w:ind w:firstLine="0"/>
    </w:pPr>
  </w:style>
  <w:style w:type="paragraph" w:styleId="ListContinue3">
    <w:name w:val="List Continue 3"/>
    <w:basedOn w:val="List3"/>
    <w:rsid w:val="003C7AC8"/>
    <w:pPr>
      <w:ind w:left="1021" w:firstLine="0"/>
    </w:pPr>
  </w:style>
  <w:style w:type="paragraph" w:styleId="ListContinue4">
    <w:name w:val="List Continue 4"/>
    <w:basedOn w:val="List4"/>
    <w:rsid w:val="003C7AC8"/>
    <w:pPr>
      <w:ind w:firstLine="0"/>
    </w:pPr>
  </w:style>
  <w:style w:type="paragraph" w:styleId="ListContinue5">
    <w:name w:val="List Continue 5"/>
    <w:basedOn w:val="List5"/>
    <w:rsid w:val="003C7AC8"/>
    <w:pPr>
      <w:ind w:firstLine="0"/>
    </w:pPr>
  </w:style>
  <w:style w:type="paragraph" w:styleId="ListNumber3">
    <w:name w:val="List Number 3"/>
    <w:basedOn w:val="List3"/>
    <w:rsid w:val="003C7AC8"/>
    <w:pPr>
      <w:numPr>
        <w:numId w:val="5"/>
      </w:numPr>
    </w:pPr>
  </w:style>
  <w:style w:type="paragraph" w:styleId="ListNumber4">
    <w:name w:val="List Number 4"/>
    <w:basedOn w:val="List4"/>
    <w:rsid w:val="003C7AC8"/>
    <w:pPr>
      <w:numPr>
        <w:numId w:val="6"/>
      </w:numPr>
    </w:pPr>
  </w:style>
  <w:style w:type="paragraph" w:styleId="ListNumber5">
    <w:name w:val="List Number 5"/>
    <w:basedOn w:val="List5"/>
    <w:rsid w:val="003C7AC8"/>
    <w:pPr>
      <w:numPr>
        <w:numId w:val="7"/>
      </w:numPr>
    </w:pPr>
  </w:style>
  <w:style w:type="paragraph" w:styleId="BlockText">
    <w:name w:val="Block Text"/>
    <w:basedOn w:val="Normal"/>
    <w:rsid w:val="003C7A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A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AC8"/>
    <w:rPr>
      <w:sz w:val="16"/>
      <w:vertAlign w:val="superscript"/>
    </w:rPr>
  </w:style>
  <w:style w:type="character" w:customStyle="1" w:styleId="Symbols">
    <w:name w:val="Symbols"/>
    <w:basedOn w:val="DefaultParagraphFont"/>
    <w:rsid w:val="003C7AC8"/>
    <w:rPr>
      <w:rFonts w:ascii="Symbol" w:hAnsi="Symbol"/>
    </w:rPr>
  </w:style>
  <w:style w:type="character" w:customStyle="1" w:styleId="MenuOptions">
    <w:name w:val="Menu Options"/>
    <w:basedOn w:val="DefaultParagraphFont"/>
    <w:rsid w:val="003C7A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AC8"/>
    <w:rPr>
      <w:b/>
    </w:rPr>
  </w:style>
  <w:style w:type="character" w:customStyle="1" w:styleId="Underlined">
    <w:name w:val="Underlined"/>
    <w:basedOn w:val="DefaultParagraphFont"/>
    <w:rsid w:val="003C7AC8"/>
    <w:rPr>
      <w:u w:val="single"/>
    </w:rPr>
  </w:style>
  <w:style w:type="paragraph" w:customStyle="1" w:styleId="TableBodyTextRight">
    <w:name w:val="Table Body Text Right"/>
    <w:basedOn w:val="TableBodyText"/>
    <w:rsid w:val="003C7A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AC8"/>
    <w:rPr>
      <w:sz w:val="18"/>
    </w:rPr>
  </w:style>
  <w:style w:type="paragraph" w:customStyle="1" w:styleId="BodySmallRight">
    <w:name w:val="Body Small Right"/>
    <w:basedOn w:val="BodyTextRight"/>
    <w:rsid w:val="003C7AC8"/>
    <w:rPr>
      <w:sz w:val="18"/>
      <w:szCs w:val="18"/>
    </w:rPr>
  </w:style>
  <w:style w:type="paragraph" w:customStyle="1" w:styleId="MarginEdition">
    <w:name w:val="Margin Edition"/>
    <w:basedOn w:val="MarginNote"/>
    <w:rsid w:val="003C7A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AC8"/>
    <w:rPr>
      <w:sz w:val="2"/>
      <w:szCs w:val="2"/>
    </w:rPr>
  </w:style>
  <w:style w:type="character" w:customStyle="1" w:styleId="Small">
    <w:name w:val="Small"/>
    <w:basedOn w:val="DefaultParagraphFont"/>
    <w:rsid w:val="003C7AC8"/>
    <w:rPr>
      <w:sz w:val="16"/>
    </w:rPr>
  </w:style>
  <w:style w:type="paragraph" w:customStyle="1" w:styleId="WideTable">
    <w:name w:val="Wide Table"/>
    <w:basedOn w:val="Normal"/>
    <w:rsid w:val="003C7A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AC8"/>
  </w:style>
  <w:style w:type="paragraph" w:styleId="Quote">
    <w:name w:val="Quote"/>
    <w:basedOn w:val="Heading1"/>
    <w:link w:val="QuoteChar"/>
    <w:qFormat/>
    <w:rsid w:val="003C7A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A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AC8"/>
    <w:pPr>
      <w:pageBreakBefore/>
    </w:pPr>
  </w:style>
  <w:style w:type="paragraph" w:customStyle="1" w:styleId="Border">
    <w:name w:val="Border"/>
    <w:basedOn w:val="Normal"/>
    <w:qFormat/>
    <w:rsid w:val="003C7A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A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A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A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A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A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A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A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A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AC8"/>
    <w:rPr>
      <w:u w:val="single"/>
    </w:rPr>
  </w:style>
  <w:style w:type="character" w:customStyle="1" w:styleId="BoldandItalics">
    <w:name w:val="Bold and Italics"/>
    <w:qFormat/>
    <w:rsid w:val="003C7AC8"/>
    <w:rPr>
      <w:b/>
      <w:i/>
      <w:u w:val="none"/>
    </w:rPr>
  </w:style>
  <w:style w:type="paragraph" w:styleId="BalloonText">
    <w:name w:val="Balloon Text"/>
    <w:basedOn w:val="Normal"/>
    <w:link w:val="BalloonTextChar"/>
    <w:rsid w:val="003C7A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A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A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A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A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A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AC8"/>
    <w:pPr>
      <w:spacing w:before="0" w:after="0"/>
    </w:pPr>
  </w:style>
  <w:style w:type="paragraph" w:customStyle="1" w:styleId="BodyTextBold">
    <w:name w:val="Body Text Bold"/>
    <w:basedOn w:val="BodyText"/>
    <w:qFormat/>
    <w:rsid w:val="003C7AC8"/>
    <w:rPr>
      <w:b/>
    </w:rPr>
  </w:style>
  <w:style w:type="character" w:styleId="Hyperlink">
    <w:name w:val="Hyperlink"/>
    <w:basedOn w:val="DefaultParagraphFont"/>
    <w:uiPriority w:val="99"/>
    <w:unhideWhenUsed/>
    <w:rsid w:val="00B16D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460</Words>
  <Characters>3336</Characters>
  <Application>Microsoft Office Word</Application>
  <DocSecurity>0</DocSecurity>
  <Lines>77</Lines>
  <Paragraphs>57</Paragraphs>
  <ScaleCrop>false</ScaleCrop>
  <Company>Author-it Software Corporation Ltd.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CPCCBC5012 Manage the application and monitoring of energy conservation and management practices and processes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2024-12-24T01:34:00Z</dcterms:created>
  <dcterms:modified xsi:type="dcterms:W3CDTF">2024-12-24T01:34:00Z</dcterms:modified>
</cp:coreProperties>
</file>