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4FB" w:rsidP="005D0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CPCCBC5009 Identify services layout and connection methods for Type B and C constructions</w:t>
      </w:r>
      <w:r>
        <w:fldChar w:fldCharType="end"/>
      </w:r>
    </w:p>
    <w:p w:rsidR="005D04FB" w:rsidP="005D04FB">
      <w:pPr>
        <w:pStyle w:val="Version"/>
        <w:sectPr w:rsidSect="00542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26EA" w:rsidP="005426EA">
      <w:pPr>
        <w:pStyle w:val="SuperHeading"/>
      </w:pPr>
      <w:r w:rsidRPr="005426EA">
        <w:t>CPCCBC5009 Identify services layout and connection methods for Type B and C constructions</w:t>
      </w:r>
    </w:p>
    <w:p w:rsidR="00000000" w:rsidRPr="005426EA" w:rsidP="005426EA">
      <w:pPr>
        <w:pStyle w:val="Heading1"/>
      </w:pPr>
      <w:bookmarkStart w:id="1" w:name="O_1293392"/>
      <w:bookmarkEnd w:id="1"/>
      <w:r w:rsidRPr="00542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Updated reference to general construction induction training program.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6EA" w:rsidP="005426EA">
            <w:pPr>
              <w:pStyle w:val="BodyText"/>
            </w:pPr>
            <w:r w:rsidRPr="005426EA">
              <w:t>This version first released with CPC Construction, Plumbing and Services Training Package Release 5.0.</w:t>
            </w:r>
          </w:p>
          <w:p w:rsidR="00000000" w:rsidRPr="005426EA" w:rsidP="005426EA">
            <w:pPr>
              <w:pStyle w:val="BodyText"/>
            </w:pPr>
            <w:r w:rsidRPr="005426EA">
              <w:t>Supersedes and is equivalent to CPCCBC5009A Identify services layout and connection methods to medium rise construction projects.  Change to title.  Upda</w:t>
            </w:r>
            <w:r w:rsidRPr="005426EA">
              <w:t>ted to meet the Standards for Training Packages 2012.</w:t>
            </w:r>
          </w:p>
        </w:tc>
      </w:tr>
    </w:tbl>
    <w:p w:rsidR="00000000" w:rsidRPr="005426EA" w:rsidP="005426EA">
      <w:pPr>
        <w:pStyle w:val="BodyText"/>
      </w:pPr>
    </w:p>
    <w:p w:rsidR="00000000" w:rsidRPr="005426EA" w:rsidP="005426EA">
      <w:pPr>
        <w:pStyle w:val="AllowPageBreak"/>
      </w:pPr>
    </w:p>
    <w:p w:rsidR="00000000" w:rsidRPr="005426EA" w:rsidP="005426EA">
      <w:pPr>
        <w:pStyle w:val="Heading1"/>
      </w:pPr>
      <w:bookmarkStart w:id="2" w:name="O_1293391"/>
      <w:bookmarkEnd w:id="2"/>
      <w:r w:rsidRPr="005426EA">
        <w:t>Application</w:t>
      </w:r>
    </w:p>
    <w:p w:rsidR="00000000" w:rsidRPr="005426EA" w:rsidP="005D04FB">
      <w:pPr>
        <w:pStyle w:val="BodyText"/>
      </w:pPr>
      <w:r w:rsidRPr="005426EA">
        <w:t>This unit of competency specifies the skills and knowledge required to identify services requirements, layouts and connections from project drawings and specifications f</w:t>
      </w:r>
      <w:r w:rsidRPr="005426EA">
        <w:t>or Type B and C construction projects. It includes identifying and evaluating differing layouts for services to comply with building codes, regulations and standards.</w:t>
      </w:r>
    </w:p>
    <w:p w:rsidR="00000000" w:rsidRPr="005426EA" w:rsidP="005D04FB">
      <w:pPr>
        <w:pStyle w:val="BodyText"/>
      </w:pPr>
      <w:r w:rsidRPr="005426EA">
        <w:t>This unit of competency applies to builders, project managers and related construction in</w:t>
      </w:r>
      <w:r w:rsidRPr="005426EA">
        <w:t>dustry professionals responsible for determining services layouts using design concepts and principles relating to installations.</w:t>
      </w:r>
    </w:p>
    <w:p w:rsidR="00000000" w:rsidRPr="005426EA" w:rsidP="005D04FB">
      <w:pPr>
        <w:pStyle w:val="BodyText"/>
      </w:pPr>
      <w:r w:rsidRPr="005426EA">
        <w:t>Completion of the general construction induction training program specified by the model Code of Practice for Construction Wor</w:t>
      </w:r>
      <w:r w:rsidRPr="005426EA">
        <w:t xml:space="preserve">k is required for any person who is to carry out construction work. Achievement of </w:t>
      </w:r>
      <w:r w:rsidRPr="005426EA">
        <w:rPr>
          <w:rStyle w:val="Emphasis"/>
        </w:rPr>
        <w:t>CPCWHS1001</w:t>
      </w:r>
      <w:r w:rsidRPr="005426EA">
        <w:t xml:space="preserve"> </w:t>
      </w:r>
      <w:r w:rsidRPr="005426EA">
        <w:rPr>
          <w:rStyle w:val="Emphasis"/>
        </w:rPr>
        <w:t xml:space="preserve">Prepare to work safely in the construction industry </w:t>
      </w:r>
      <w:r w:rsidRPr="005426EA">
        <w:t>meets this requirement.</w:t>
      </w:r>
    </w:p>
    <w:p w:rsidR="00000000" w:rsidRPr="005426EA" w:rsidP="005D04FB">
      <w:pPr>
        <w:pStyle w:val="BodyText"/>
      </w:pPr>
      <w:r w:rsidRPr="005426EA">
        <w:t>Licensing, regulatory or registration requirements apply to this unit of competency in</w:t>
      </w:r>
      <w:r w:rsidRPr="005426EA">
        <w:t xml:space="preserve"> some jurisdictions. Relevant state and territory regulatory authorities should be consulted to confirm these requirements.</w:t>
      </w:r>
    </w:p>
    <w:p w:rsidR="00000000" w:rsidRPr="005426EA" w:rsidP="005426EA">
      <w:pPr>
        <w:pStyle w:val="Heading1"/>
      </w:pPr>
      <w:bookmarkStart w:id="3" w:name="O_1293390"/>
      <w:bookmarkEnd w:id="3"/>
      <w:r w:rsidRPr="005426EA">
        <w:t>Pre-requisite Unit</w:t>
      </w:r>
    </w:p>
    <w:p w:rsidR="00000000" w:rsidRPr="005426EA" w:rsidP="005D04FB">
      <w:pPr>
        <w:pStyle w:val="BodyText"/>
      </w:pPr>
      <w:r w:rsidRPr="005426EA">
        <w:t>Nil.</w:t>
      </w:r>
    </w:p>
    <w:p w:rsidR="00000000" w:rsidRPr="005426EA" w:rsidP="005426EA">
      <w:pPr>
        <w:pStyle w:val="Heading1"/>
      </w:pPr>
      <w:bookmarkStart w:id="4" w:name="O_1293389"/>
      <w:bookmarkEnd w:id="4"/>
      <w:r w:rsidRPr="005426EA">
        <w:t>Unit Sector</w:t>
      </w:r>
    </w:p>
    <w:p w:rsidR="00000000" w:rsidRPr="005426EA" w:rsidP="005D04FB">
      <w:pPr>
        <w:pStyle w:val="BodyText"/>
      </w:pPr>
      <w:r w:rsidRPr="005426EA">
        <w:t>Building and Construction</w:t>
      </w:r>
    </w:p>
    <w:p w:rsidR="00000000" w:rsidRPr="005426EA" w:rsidP="005426EA">
      <w:pPr>
        <w:pStyle w:val="Heading1"/>
      </w:pPr>
      <w:bookmarkStart w:id="5" w:name="O_1293388"/>
      <w:bookmarkEnd w:id="5"/>
      <w:r w:rsidRPr="005426EA">
        <w:t>E</w:t>
      </w:r>
      <w:r w:rsidRPr="005426EA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Performance criteria describe what needs to be done to demonstrate achievement of the element.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Evaluate layout for water storage supply.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Sketch layout for residential water</w:t>
            </w:r>
            <w:r w:rsidRPr="005426EA">
              <w:t xml:space="preserve"> supply and connection from a town supply or tank storage to comply with relevant building regulations and standards. 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Document single and two-stage pumping systems used to maintain water levels in storage tanks.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and address limitations of multi-function and single function services connected to water storage tanks.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Evaluate layout and methods of sewerage and drainage disposal.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 xml:space="preserve">Sketch sewerage connection and layout in accordance with relevant building regulations and standards. 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Assess number of fixtures and building type to determine stack type.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fixture units.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Determine appropriate connection methods of main drains to local authority sewers against relevant building standards.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Assess disposal of sewerage from fixtures situated below the level of the local authority sewer.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Monitor collection, treatm</w:t>
            </w:r>
            <w:r w:rsidRPr="005426EA">
              <w:t>ent and disposal of prohibited discharges for non-domestic buildings.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Assess layout of mechanical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 xml:space="preserve">Identify and sketch methods of mechanical ventilation and air distribution. 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Check mechanical ventilation and air distribution system design layout is appropriate to the building design and complementary to other services.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Evaluate the range of hot water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Evaluate operating principles of various types of hot water systems.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 xml:space="preserve">Select suitable hot water system according to accepted </w:t>
            </w:r>
            <w:r w:rsidRPr="005426EA">
              <w:t xml:space="preserve">and agreed requirements and specifications. 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Evaluate lighting for a range of situations.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roof construction used and outline methods for appropriate daylight transmission.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 xml:space="preserve">Compare various service situations with methods of artificial lighting used. 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Determine compliance of fire protection.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authorities involved in plan perusal and site inspection for the various building classifications.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requirements for sprinkler systems and fire hoses for the various building classifications.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Address fire detector and alarm systems and the application of fire doors.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extinguishing agents and their applications.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Plan installation of electrical and electronic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Identify electrical supply connection to site and comply with appropriate authority.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Implement electrical design and provision for services.</w:t>
            </w:r>
          </w:p>
        </w:tc>
      </w:tr>
      <w:tr w:rsidTr="00542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6EA">
            <w:pPr>
              <w:pStyle w:val="BodyText"/>
              <w:rPr>
                <w:lang w:val="en-NZ"/>
              </w:rPr>
            </w:pPr>
            <w:r w:rsidRPr="005426EA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6EA" w:rsidP="005426EA">
            <w:pPr>
              <w:pStyle w:val="BodyText"/>
            </w:pPr>
            <w:r w:rsidRPr="005426EA">
              <w:t>Identify and outline electronic cabling, type of service, categories of cabling, layout of equipment, safe guards, access for maintenance, repair and extensions.</w:t>
            </w:r>
          </w:p>
        </w:tc>
      </w:tr>
    </w:tbl>
    <w:p w:rsidR="00000000" w:rsidRPr="005426EA" w:rsidP="005426EA">
      <w:pPr>
        <w:pStyle w:val="BodyText"/>
      </w:pPr>
    </w:p>
    <w:p w:rsidR="00000000" w:rsidRPr="005426EA" w:rsidP="005426EA">
      <w:pPr>
        <w:pStyle w:val="AllowPageBreak"/>
      </w:pPr>
    </w:p>
    <w:p w:rsidR="00000000" w:rsidRPr="005426EA" w:rsidP="005426EA">
      <w:pPr>
        <w:pStyle w:val="Heading1"/>
      </w:pPr>
      <w:bookmarkStart w:id="6" w:name="O_1293387"/>
      <w:bookmarkEnd w:id="6"/>
      <w:r w:rsidRPr="005426EA">
        <w:t>Foundation Skills</w:t>
      </w:r>
    </w:p>
    <w:p w:rsidR="00000000" w:rsidRPr="005426EA" w:rsidP="005D04FB">
      <w:pPr>
        <w:pStyle w:val="BodyText"/>
      </w:pPr>
      <w:r w:rsidRPr="005426EA">
        <w:t xml:space="preserve">As well as the foundation skills explicit in the performance criteria of this unit, candidates require: </w:t>
      </w:r>
    </w:p>
    <w:p w:rsidR="00000000" w:rsidRPr="005426EA" w:rsidP="005426EA">
      <w:pPr>
        <w:pStyle w:val="ListBullet"/>
      </w:pPr>
      <w:r w:rsidRPr="005426EA">
        <w:t>technology skills to:</w:t>
      </w:r>
    </w:p>
    <w:p w:rsidR="00000000" w:rsidRPr="005426EA" w:rsidP="005426EA">
      <w:pPr>
        <w:pStyle w:val="ListBullet2"/>
      </w:pPr>
      <w:r w:rsidRPr="005426EA">
        <w:t>use digital tools and devices to communicate and collaborate effectively with others</w:t>
      </w:r>
    </w:p>
    <w:p w:rsidR="00000000" w:rsidRPr="005426EA" w:rsidP="005426EA">
      <w:pPr>
        <w:pStyle w:val="ListBullet2"/>
      </w:pPr>
      <w:r w:rsidRPr="005426EA">
        <w:t>use equipment and programs to access and e</w:t>
      </w:r>
      <w:r w:rsidRPr="005426EA">
        <w:t>xtract information and develop relevant documentation.</w:t>
      </w:r>
    </w:p>
    <w:p w:rsidR="00000000" w:rsidRPr="005426EA" w:rsidP="005426EA">
      <w:pPr>
        <w:pStyle w:val="AllowPageBreak"/>
      </w:pPr>
    </w:p>
    <w:p w:rsidR="00000000" w:rsidRPr="005426EA" w:rsidP="005426EA">
      <w:pPr>
        <w:pStyle w:val="Heading1"/>
      </w:pPr>
      <w:bookmarkStart w:id="7" w:name="O_1293386"/>
      <w:bookmarkEnd w:id="7"/>
      <w:r w:rsidRPr="005426EA">
        <w:t>Unit Mapping Information</w:t>
      </w:r>
    </w:p>
    <w:p w:rsidR="00000000" w:rsidRPr="005426EA" w:rsidP="005D04FB">
      <w:pPr>
        <w:pStyle w:val="BodyText"/>
      </w:pPr>
      <w:r w:rsidRPr="005426EA">
        <w:t>Supersedes and is equivalent to CPCCBC5009A Identify services layout and connection methods to medium rise construction projects.</w:t>
      </w:r>
    </w:p>
    <w:p w:rsidR="00000000" w:rsidRPr="005426EA" w:rsidP="005426EA">
      <w:pPr>
        <w:pStyle w:val="Heading1"/>
      </w:pPr>
      <w:bookmarkStart w:id="8" w:name="O_1293393"/>
      <w:bookmarkEnd w:id="8"/>
      <w:r w:rsidRPr="005426EA">
        <w:t>Links</w:t>
      </w:r>
    </w:p>
    <w:p w:rsidR="00000000" w:rsidRPr="005426EA" w:rsidP="005D04FB">
      <w:pPr>
        <w:pStyle w:val="BodyText"/>
      </w:pPr>
      <w:r w:rsidRPr="005426EA">
        <w:t>Co</w:t>
      </w:r>
      <w:r w:rsidRPr="005426EA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3C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26EA" w:rsidP="005426EA"/>
    <w:sectPr w:rsidSect="00542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EA" w:rsidRPr="005D04FB" w:rsidP="005D0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FB" w:rsidP="00542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4FB" w:rsidP="00542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04FB" w:rsidP="00542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6EA" w:rsidRPr="005D04FB" w:rsidP="005D0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FB" w:rsidRPr="002D2AF8" w:rsidP="00542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CPCCBC5009 Identify services layout and connection methods for Type B and C constructions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04FB" w:rsidP="00542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204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5C7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FA1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6EA"/>
  </w:style>
  <w:style w:type="character" w:customStyle="1" w:styleId="Heading1Char">
    <w:name w:val="Heading 1 Char"/>
    <w:basedOn w:val="DefaultParagraphFont"/>
    <w:link w:val="Heading1"/>
    <w:rsid w:val="00542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6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6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26EA"/>
    <w:rPr>
      <w:i/>
    </w:rPr>
  </w:style>
  <w:style w:type="paragraph" w:customStyle="1" w:styleId="SuperHeading">
    <w:name w:val="SuperHeading"/>
    <w:basedOn w:val="Normal"/>
    <w:rsid w:val="00542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6EA"/>
    <w:rPr>
      <w:b/>
      <w:spacing w:val="0"/>
    </w:rPr>
  </w:style>
  <w:style w:type="paragraph" w:customStyle="1" w:styleId="SuperTitle">
    <w:name w:val="SuperTitle"/>
    <w:basedOn w:val="Title"/>
    <w:rsid w:val="00542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6EA"/>
  </w:style>
  <w:style w:type="paragraph" w:styleId="TableofFigures">
    <w:name w:val="table of figures"/>
    <w:basedOn w:val="Normal"/>
    <w:next w:val="Normal"/>
    <w:semiHidden/>
    <w:rsid w:val="00542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6EA"/>
    <w:rPr>
      <w:rFonts w:ascii="Wingdings" w:hAnsi="Wingdings"/>
    </w:rPr>
  </w:style>
  <w:style w:type="paragraph" w:customStyle="1" w:styleId="TableHeading">
    <w:name w:val="Table Heading"/>
    <w:basedOn w:val="HeadingBase"/>
    <w:rsid w:val="00542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6EA"/>
    <w:rPr>
      <w:color w:val="0033CC"/>
      <w:u w:val="none"/>
    </w:rPr>
  </w:style>
  <w:style w:type="paragraph" w:customStyle="1" w:styleId="BodyTextRight">
    <w:name w:val="Body Text Right"/>
    <w:basedOn w:val="BodyText"/>
    <w:rsid w:val="00542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6EA"/>
    <w:rPr>
      <w:sz w:val="32"/>
    </w:rPr>
  </w:style>
  <w:style w:type="paragraph" w:customStyle="1" w:styleId="HeadingProcedure">
    <w:name w:val="Heading Procedure"/>
    <w:basedOn w:val="HeadingBase"/>
    <w:next w:val="Normal"/>
    <w:rsid w:val="00542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6EA"/>
    <w:pPr>
      <w:spacing w:before="60" w:after="60"/>
    </w:pPr>
  </w:style>
  <w:style w:type="paragraph" w:styleId="ListContinue">
    <w:name w:val="List Continue"/>
    <w:basedOn w:val="List"/>
    <w:rsid w:val="005426EA"/>
    <w:pPr>
      <w:ind w:firstLine="0"/>
    </w:pPr>
  </w:style>
  <w:style w:type="paragraph" w:customStyle="1" w:styleId="ListNote">
    <w:name w:val="List Note"/>
    <w:basedOn w:val="List"/>
    <w:rsid w:val="00542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6EA"/>
    <w:rPr>
      <w:rFonts w:ascii="Courier New" w:hAnsi="Courier New"/>
    </w:rPr>
  </w:style>
  <w:style w:type="paragraph" w:customStyle="1" w:styleId="NoteBullet">
    <w:name w:val="Note Bullet"/>
    <w:basedOn w:val="Note"/>
    <w:rsid w:val="00542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6EA"/>
    <w:rPr>
      <w:b/>
      <w:smallCaps/>
    </w:rPr>
  </w:style>
  <w:style w:type="paragraph" w:customStyle="1" w:styleId="TableListNumber">
    <w:name w:val="Table List Number"/>
    <w:basedOn w:val="ListNumber"/>
    <w:rsid w:val="00542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6EA"/>
    <w:pPr>
      <w:numPr>
        <w:numId w:val="9"/>
      </w:numPr>
    </w:pPr>
  </w:style>
  <w:style w:type="paragraph" w:customStyle="1" w:styleId="ListAlpha2">
    <w:name w:val="List Alpha 2"/>
    <w:basedOn w:val="List2"/>
    <w:rsid w:val="005426EA"/>
    <w:pPr>
      <w:numPr>
        <w:numId w:val="8"/>
      </w:numPr>
    </w:pPr>
  </w:style>
  <w:style w:type="paragraph" w:styleId="List2">
    <w:name w:val="List 2"/>
    <w:basedOn w:val="BodyText"/>
    <w:rsid w:val="00542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6EA"/>
    <w:pPr>
      <w:numPr>
        <w:numId w:val="4"/>
      </w:numPr>
    </w:pPr>
  </w:style>
  <w:style w:type="paragraph" w:styleId="ListContinue2">
    <w:name w:val="List Continue 2"/>
    <w:basedOn w:val="List2"/>
    <w:rsid w:val="005426EA"/>
    <w:pPr>
      <w:ind w:firstLine="0"/>
    </w:pPr>
  </w:style>
  <w:style w:type="paragraph" w:styleId="ListContinue3">
    <w:name w:val="List Continue 3"/>
    <w:basedOn w:val="List3"/>
    <w:rsid w:val="005426EA"/>
    <w:pPr>
      <w:ind w:left="1021" w:firstLine="0"/>
    </w:pPr>
  </w:style>
  <w:style w:type="paragraph" w:styleId="ListContinue4">
    <w:name w:val="List Continue 4"/>
    <w:basedOn w:val="List4"/>
    <w:rsid w:val="005426EA"/>
    <w:pPr>
      <w:ind w:firstLine="0"/>
    </w:pPr>
  </w:style>
  <w:style w:type="paragraph" w:styleId="ListContinue5">
    <w:name w:val="List Continue 5"/>
    <w:basedOn w:val="List5"/>
    <w:rsid w:val="005426EA"/>
    <w:pPr>
      <w:ind w:firstLine="0"/>
    </w:pPr>
  </w:style>
  <w:style w:type="paragraph" w:styleId="ListNumber3">
    <w:name w:val="List Number 3"/>
    <w:basedOn w:val="List3"/>
    <w:rsid w:val="005426EA"/>
    <w:pPr>
      <w:numPr>
        <w:numId w:val="5"/>
      </w:numPr>
    </w:pPr>
  </w:style>
  <w:style w:type="paragraph" w:styleId="ListNumber4">
    <w:name w:val="List Number 4"/>
    <w:basedOn w:val="List4"/>
    <w:rsid w:val="005426EA"/>
    <w:pPr>
      <w:numPr>
        <w:numId w:val="6"/>
      </w:numPr>
    </w:pPr>
  </w:style>
  <w:style w:type="paragraph" w:styleId="ListNumber5">
    <w:name w:val="List Number 5"/>
    <w:basedOn w:val="List5"/>
    <w:rsid w:val="005426EA"/>
    <w:pPr>
      <w:numPr>
        <w:numId w:val="7"/>
      </w:numPr>
    </w:pPr>
  </w:style>
  <w:style w:type="paragraph" w:styleId="BlockText">
    <w:name w:val="Block Text"/>
    <w:basedOn w:val="Normal"/>
    <w:rsid w:val="00542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6EA"/>
    <w:rPr>
      <w:sz w:val="16"/>
      <w:vertAlign w:val="superscript"/>
    </w:rPr>
  </w:style>
  <w:style w:type="character" w:customStyle="1" w:styleId="Symbols">
    <w:name w:val="Symbols"/>
    <w:basedOn w:val="DefaultParagraphFont"/>
    <w:rsid w:val="005426EA"/>
    <w:rPr>
      <w:rFonts w:ascii="Symbol" w:hAnsi="Symbol"/>
    </w:rPr>
  </w:style>
  <w:style w:type="character" w:customStyle="1" w:styleId="MenuOptions">
    <w:name w:val="Menu Options"/>
    <w:basedOn w:val="DefaultParagraphFont"/>
    <w:rsid w:val="00542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6EA"/>
    <w:rPr>
      <w:b/>
    </w:rPr>
  </w:style>
  <w:style w:type="character" w:customStyle="1" w:styleId="Underlined">
    <w:name w:val="Underlined"/>
    <w:basedOn w:val="DefaultParagraphFont"/>
    <w:rsid w:val="005426EA"/>
    <w:rPr>
      <w:u w:val="single"/>
    </w:rPr>
  </w:style>
  <w:style w:type="paragraph" w:customStyle="1" w:styleId="TableBodyTextRight">
    <w:name w:val="Table Body Text Right"/>
    <w:basedOn w:val="TableBodyText"/>
    <w:rsid w:val="00542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6EA"/>
    <w:rPr>
      <w:sz w:val="18"/>
    </w:rPr>
  </w:style>
  <w:style w:type="paragraph" w:customStyle="1" w:styleId="BodySmallRight">
    <w:name w:val="Body Small Right"/>
    <w:basedOn w:val="BodyTextRight"/>
    <w:rsid w:val="005426EA"/>
    <w:rPr>
      <w:sz w:val="18"/>
      <w:szCs w:val="18"/>
    </w:rPr>
  </w:style>
  <w:style w:type="paragraph" w:customStyle="1" w:styleId="MarginEdition">
    <w:name w:val="Margin Edition"/>
    <w:basedOn w:val="MarginNote"/>
    <w:rsid w:val="00542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6EA"/>
    <w:rPr>
      <w:sz w:val="2"/>
      <w:szCs w:val="2"/>
    </w:rPr>
  </w:style>
  <w:style w:type="character" w:customStyle="1" w:styleId="Small">
    <w:name w:val="Small"/>
    <w:basedOn w:val="DefaultParagraphFont"/>
    <w:rsid w:val="005426EA"/>
    <w:rPr>
      <w:sz w:val="16"/>
    </w:rPr>
  </w:style>
  <w:style w:type="paragraph" w:customStyle="1" w:styleId="WideTable">
    <w:name w:val="Wide Table"/>
    <w:basedOn w:val="Normal"/>
    <w:rsid w:val="00542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6EA"/>
  </w:style>
  <w:style w:type="paragraph" w:styleId="Quote">
    <w:name w:val="Quote"/>
    <w:basedOn w:val="Heading1"/>
    <w:link w:val="QuoteChar"/>
    <w:qFormat/>
    <w:rsid w:val="00542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6EA"/>
    <w:pPr>
      <w:pageBreakBefore/>
    </w:pPr>
  </w:style>
  <w:style w:type="paragraph" w:customStyle="1" w:styleId="Border">
    <w:name w:val="Border"/>
    <w:basedOn w:val="Normal"/>
    <w:qFormat/>
    <w:rsid w:val="00542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6EA"/>
    <w:rPr>
      <w:u w:val="single"/>
    </w:rPr>
  </w:style>
  <w:style w:type="character" w:customStyle="1" w:styleId="BoldandItalics">
    <w:name w:val="Bold and Italics"/>
    <w:qFormat/>
    <w:rsid w:val="005426EA"/>
    <w:rPr>
      <w:b/>
      <w:i/>
      <w:u w:val="none"/>
    </w:rPr>
  </w:style>
  <w:style w:type="paragraph" w:styleId="BalloonText">
    <w:name w:val="Balloon Text"/>
    <w:basedOn w:val="Normal"/>
    <w:link w:val="BalloonTextChar"/>
    <w:rsid w:val="00542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6EA"/>
    <w:pPr>
      <w:spacing w:before="0" w:after="0"/>
    </w:pPr>
  </w:style>
  <w:style w:type="paragraph" w:customStyle="1" w:styleId="BodyTextBold">
    <w:name w:val="Body Text Bold"/>
    <w:basedOn w:val="BodyText"/>
    <w:qFormat/>
    <w:rsid w:val="005426EA"/>
    <w:rPr>
      <w:b/>
    </w:rPr>
  </w:style>
  <w:style w:type="character" w:styleId="Hyperlink">
    <w:name w:val="Hyperlink"/>
    <w:basedOn w:val="DefaultParagraphFont"/>
    <w:uiPriority w:val="99"/>
    <w:unhideWhenUsed/>
    <w:rsid w:val="005D0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4589</Characters>
  <Application>Microsoft Office Word</Application>
  <DocSecurity>0</DocSecurity>
  <Lines>199</Lines>
  <Paragraphs>106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CPCCBC5009 Identify services layout and connection methods for Type B and C constructions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